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37" w:rsidRPr="00CE5F8E" w:rsidRDefault="00923737" w:rsidP="00923737">
      <w:pPr>
        <w:pStyle w:val="Titel"/>
      </w:pPr>
      <w:r>
        <w:t xml:space="preserve">A 1.2 </w:t>
      </w:r>
      <w:r w:rsidRPr="00CE5F8E">
        <w:t>Mehrsprachigkeit und Identität</w:t>
      </w:r>
    </w:p>
    <w:p w:rsidR="00923737" w:rsidRPr="00CE5F8E" w:rsidRDefault="00923737" w:rsidP="00923737">
      <w:pPr>
        <w:rPr>
          <w:color w:val="4F81BD" w:themeColor="accent1"/>
        </w:rPr>
      </w:pPr>
      <w:r w:rsidRPr="00CE5F8E">
        <w:rPr>
          <w:color w:val="4F81BD" w:themeColor="accent1"/>
        </w:rPr>
        <w:t>Verena Plutzar</w:t>
      </w:r>
    </w:p>
    <w:p w:rsidR="00923737" w:rsidRPr="005A50DC" w:rsidRDefault="00923737" w:rsidP="00923737"/>
    <w:p w:rsidR="00923737" w:rsidRPr="002763F0" w:rsidRDefault="00923737" w:rsidP="00923737">
      <w:pPr>
        <w:jc w:val="both"/>
        <w:rPr>
          <w:rFonts w:ascii="PT Sans" w:hAnsi="PT Sans"/>
          <w:sz w:val="22"/>
          <w:szCs w:val="22"/>
        </w:rPr>
      </w:pPr>
      <w:r w:rsidRPr="002763F0">
        <w:rPr>
          <w:rFonts w:ascii="PT Sans" w:hAnsi="PT Sans"/>
          <w:sz w:val="22"/>
          <w:szCs w:val="22"/>
        </w:rPr>
        <w:t>Mit und durch unsere Sprache(n) drücken wir uns aus und verschaffen uns Gehör – unsere Sprachverwendung ist dialogisch angelegt, auf ein Gegenüber ausgerichtet. Mit und durch unsere Sprache(n) treten wir mit unseren Mitmenschen in Beziehung und erleben Zugehörigkeit. Wir können uns also über unsere Sprachverwendung mit Gruppen identifizieren – oder aber auch von ihnen distanzieren. Unsere Sprachverwendung kann auch eine Differenz anzeigen, entweder beabsichtigt, wie in der Jugendsprache, oder unbeabsichtigt, wie im Gebrauch eines „falschen“ Akzents oder „falschen“ Wortes. „Falsch“ ist, was in eine</w:t>
      </w:r>
      <w:r>
        <w:rPr>
          <w:rFonts w:ascii="PT Sans" w:hAnsi="PT Sans"/>
          <w:sz w:val="22"/>
          <w:szCs w:val="22"/>
        </w:rPr>
        <w:t>m</w:t>
      </w:r>
      <w:r w:rsidRPr="002763F0">
        <w:rPr>
          <w:rFonts w:ascii="PT Sans" w:hAnsi="PT Sans"/>
          <w:sz w:val="22"/>
          <w:szCs w:val="22"/>
        </w:rPr>
        <w:t xml:space="preserve"> gegebenen Kontext unpassend, deplatziert oder unerwünscht ist. Die „falsche“ Sprache findet in der Gruppe kein Gehör. Eva Hoffmann beschreibt diese Erfahrung und das, was sie auslöst,</w:t>
      </w:r>
      <w:r>
        <w:rPr>
          <w:rFonts w:ascii="PT Sans" w:hAnsi="PT Sans"/>
          <w:sz w:val="22"/>
          <w:szCs w:val="22"/>
        </w:rPr>
        <w:t xml:space="preserve"> </w:t>
      </w:r>
      <w:r w:rsidRPr="002763F0">
        <w:rPr>
          <w:rFonts w:ascii="PT Sans" w:hAnsi="PT Sans"/>
          <w:sz w:val="22"/>
          <w:szCs w:val="22"/>
        </w:rPr>
        <w:t xml:space="preserve">in ihrem autobiographischen Roman so: </w:t>
      </w:r>
    </w:p>
    <w:p w:rsidR="00923737" w:rsidRPr="002763F0" w:rsidRDefault="00923737" w:rsidP="00923737">
      <w:pPr>
        <w:ind w:left="708"/>
        <w:jc w:val="both"/>
        <w:rPr>
          <w:rFonts w:ascii="PT Sans" w:hAnsi="PT Sans"/>
          <w:i/>
          <w:sz w:val="22"/>
          <w:szCs w:val="22"/>
        </w:rPr>
      </w:pPr>
      <w:r w:rsidRPr="002763F0">
        <w:rPr>
          <w:rFonts w:ascii="PT Sans" w:hAnsi="PT Sans"/>
          <w:i/>
          <w:sz w:val="22"/>
          <w:szCs w:val="22"/>
        </w:rPr>
        <w:t xml:space="preserve">Da ich nicht gehört werde, habe ich das Gefühl, dass ich nicht gesehen werde. Meine Worte scheinen andere oft zu verblüffen. Sie sind unangemessen oder gewollt oder einfach nur unverständlich. Die Menschen sehen mich verwundert an, sie murmeln irgendeine Antwort – irgend etwas </w:t>
      </w:r>
      <w:r>
        <w:rPr>
          <w:rFonts w:ascii="PT Sans" w:hAnsi="PT Sans"/>
          <w:i/>
          <w:sz w:val="22"/>
          <w:szCs w:val="22"/>
        </w:rPr>
        <w:t>U</w:t>
      </w:r>
      <w:r w:rsidRPr="002763F0">
        <w:rPr>
          <w:rFonts w:ascii="PT Sans" w:hAnsi="PT Sans"/>
          <w:i/>
          <w:sz w:val="22"/>
          <w:szCs w:val="22"/>
        </w:rPr>
        <w:t>npassendes ... der matte Blick in ihren Augen, mit dem sie mir zuhören, löscht mein Gesicht aus, verflacht meine Züge. (Hoffman 2004, 188)</w:t>
      </w:r>
    </w:p>
    <w:p w:rsidR="00923737" w:rsidRPr="002763F0" w:rsidRDefault="00923737" w:rsidP="00923737">
      <w:pPr>
        <w:jc w:val="both"/>
        <w:rPr>
          <w:rFonts w:ascii="PT Sans" w:hAnsi="PT Sans"/>
          <w:sz w:val="22"/>
          <w:szCs w:val="22"/>
        </w:rPr>
      </w:pPr>
      <w:r w:rsidRPr="002763F0">
        <w:rPr>
          <w:rFonts w:ascii="PT Sans" w:hAnsi="PT Sans"/>
          <w:sz w:val="22"/>
          <w:szCs w:val="22"/>
        </w:rPr>
        <w:t>Die Erfahrung, von anderen in seiner Sprachverwendung als nicht passend eingeschätzt zu werden, kann mit dem Erleben von Scham einhergehen. Einem Gefühl, das wie Brigitta Busch festhält, „im Zusammenhang mit Mehrsprachigkeit in Biografien oft erwähnt wird, [...]“</w:t>
      </w:r>
      <w:r>
        <w:rPr>
          <w:rFonts w:ascii="PT Sans" w:hAnsi="PT Sans"/>
          <w:sz w:val="22"/>
          <w:szCs w:val="22"/>
        </w:rPr>
        <w:t xml:space="preserve">. </w:t>
      </w:r>
      <w:r w:rsidRPr="002763F0">
        <w:rPr>
          <w:rFonts w:ascii="PT Sans" w:hAnsi="PT Sans"/>
          <w:sz w:val="22"/>
          <w:szCs w:val="22"/>
        </w:rPr>
        <w:t>(Busch 2013, 26)</w:t>
      </w:r>
      <w:r>
        <w:rPr>
          <w:rFonts w:ascii="PT Sans" w:hAnsi="PT Sans"/>
          <w:sz w:val="22"/>
          <w:szCs w:val="22"/>
        </w:rPr>
        <w:t>.</w:t>
      </w:r>
      <w:r w:rsidRPr="002763F0">
        <w:rPr>
          <w:rFonts w:ascii="PT Sans" w:hAnsi="PT Sans"/>
          <w:sz w:val="22"/>
          <w:szCs w:val="22"/>
        </w:rPr>
        <w:t xml:space="preserve"> Die von der dominanten Gruppe als „falsch“ eingeschätzte Sprachverwendung kann darüber hinaus für die Sprechende</w:t>
      </w:r>
      <w:r>
        <w:rPr>
          <w:rFonts w:ascii="PT Sans" w:hAnsi="PT Sans"/>
          <w:sz w:val="22"/>
          <w:szCs w:val="22"/>
        </w:rPr>
        <w:t>n</w:t>
      </w:r>
      <w:r w:rsidRPr="002763F0">
        <w:rPr>
          <w:rFonts w:ascii="PT Sans" w:hAnsi="PT Sans"/>
          <w:sz w:val="22"/>
          <w:szCs w:val="22"/>
        </w:rPr>
        <w:t xml:space="preserve"> auch mit nachteilige</w:t>
      </w:r>
      <w:r>
        <w:rPr>
          <w:rFonts w:ascii="PT Sans" w:hAnsi="PT Sans"/>
          <w:sz w:val="22"/>
          <w:szCs w:val="22"/>
        </w:rPr>
        <w:t>n</w:t>
      </w:r>
      <w:r w:rsidRPr="002763F0">
        <w:rPr>
          <w:rFonts w:ascii="PT Sans" w:hAnsi="PT Sans"/>
          <w:sz w:val="22"/>
          <w:szCs w:val="22"/>
        </w:rPr>
        <w:t xml:space="preserve"> Konsequenzen</w:t>
      </w:r>
      <w:r>
        <w:rPr>
          <w:rFonts w:ascii="PT Sans" w:hAnsi="PT Sans"/>
          <w:sz w:val="22"/>
          <w:szCs w:val="22"/>
        </w:rPr>
        <w:t xml:space="preserve"> </w:t>
      </w:r>
      <w:r w:rsidRPr="002763F0">
        <w:rPr>
          <w:rFonts w:ascii="PT Sans" w:hAnsi="PT Sans"/>
          <w:sz w:val="22"/>
          <w:szCs w:val="22"/>
        </w:rPr>
        <w:t xml:space="preserve">und Erfahrungen verbunden sein, wie Ausschluss und Diskriminierung, wenn z.B. eine Wohnung oder eine Arbeitsstelle nicht </w:t>
      </w:r>
      <w:r>
        <w:rPr>
          <w:rFonts w:ascii="PT Sans" w:hAnsi="PT Sans"/>
          <w:sz w:val="22"/>
          <w:szCs w:val="22"/>
        </w:rPr>
        <w:t xml:space="preserve">zugesprochen </w:t>
      </w:r>
      <w:r w:rsidRPr="002763F0">
        <w:rPr>
          <w:rFonts w:ascii="PT Sans" w:hAnsi="PT Sans"/>
          <w:sz w:val="22"/>
          <w:szCs w:val="22"/>
        </w:rPr>
        <w:t xml:space="preserve">wird oder nachteilige Entscheidungen für die weitere Bildungslaufbahn getroffen werden. </w:t>
      </w:r>
    </w:p>
    <w:p w:rsidR="00923737" w:rsidRPr="002763F0" w:rsidRDefault="00923737" w:rsidP="00923737">
      <w:pPr>
        <w:jc w:val="both"/>
        <w:rPr>
          <w:rFonts w:ascii="PT Sans" w:hAnsi="PT Sans"/>
          <w:sz w:val="22"/>
          <w:szCs w:val="22"/>
        </w:rPr>
      </w:pPr>
    </w:p>
    <w:p w:rsidR="00923737" w:rsidRPr="002763F0" w:rsidRDefault="00923737" w:rsidP="00923737">
      <w:pPr>
        <w:jc w:val="both"/>
        <w:rPr>
          <w:rFonts w:ascii="PT Sans" w:hAnsi="PT Sans"/>
          <w:sz w:val="22"/>
          <w:szCs w:val="22"/>
        </w:rPr>
      </w:pPr>
      <w:r w:rsidRPr="002763F0">
        <w:rPr>
          <w:rFonts w:ascii="PT Sans" w:hAnsi="PT Sans"/>
          <w:sz w:val="22"/>
          <w:szCs w:val="22"/>
        </w:rPr>
        <w:t xml:space="preserve">Mit Mehrsprachigkeit können also, je nach Kontext, emotional ausgesprochen herausfordernde Fragen verbunden sein, die auch existentielle Bedeutung gewinnen können, wie: </w:t>
      </w:r>
    </w:p>
    <w:p w:rsidR="00923737" w:rsidRPr="002763F0" w:rsidRDefault="00923737" w:rsidP="00923737">
      <w:pPr>
        <w:pStyle w:val="Listenabsatz"/>
        <w:numPr>
          <w:ilvl w:val="0"/>
          <w:numId w:val="3"/>
        </w:numPr>
        <w:jc w:val="both"/>
        <w:rPr>
          <w:rFonts w:ascii="PT Sans" w:hAnsi="PT Sans"/>
          <w:sz w:val="22"/>
          <w:szCs w:val="22"/>
        </w:rPr>
      </w:pPr>
      <w:r w:rsidRPr="002763F0">
        <w:rPr>
          <w:rFonts w:ascii="PT Sans" w:hAnsi="PT Sans"/>
          <w:sz w:val="22"/>
          <w:szCs w:val="22"/>
        </w:rPr>
        <w:t>Kann ich mich sprachlich so ausdrücken, wie ich mir das wünsche bzw. vorstelle oder habe ich das Gefühl der Spracharmut bis hin zur Sprachlosigkeit?</w:t>
      </w:r>
    </w:p>
    <w:p w:rsidR="00923737" w:rsidRPr="002763F0" w:rsidRDefault="00923737" w:rsidP="00923737">
      <w:pPr>
        <w:pStyle w:val="MittleresRaster1-Akzent21"/>
        <w:numPr>
          <w:ilvl w:val="0"/>
          <w:numId w:val="3"/>
        </w:numPr>
        <w:jc w:val="both"/>
        <w:rPr>
          <w:rFonts w:ascii="PT Sans" w:hAnsi="PT Sans"/>
          <w:sz w:val="22"/>
          <w:szCs w:val="22"/>
        </w:rPr>
      </w:pPr>
      <w:r w:rsidRPr="002763F0">
        <w:rPr>
          <w:rFonts w:ascii="PT Sans" w:hAnsi="PT Sans"/>
          <w:sz w:val="22"/>
          <w:szCs w:val="22"/>
        </w:rPr>
        <w:t xml:space="preserve">Wie reagieren die anderen auf meine Sprache(n)? </w:t>
      </w:r>
    </w:p>
    <w:p w:rsidR="00923737" w:rsidRPr="002763F0" w:rsidRDefault="00923737" w:rsidP="00923737">
      <w:pPr>
        <w:pStyle w:val="MittleresRaster1-Akzent21"/>
        <w:numPr>
          <w:ilvl w:val="0"/>
          <w:numId w:val="3"/>
        </w:numPr>
        <w:jc w:val="both"/>
        <w:rPr>
          <w:rFonts w:ascii="PT Sans" w:hAnsi="PT Sans"/>
          <w:sz w:val="22"/>
          <w:szCs w:val="22"/>
        </w:rPr>
      </w:pPr>
      <w:r w:rsidRPr="002763F0">
        <w:rPr>
          <w:rFonts w:ascii="PT Sans" w:hAnsi="PT Sans"/>
          <w:sz w:val="22"/>
          <w:szCs w:val="22"/>
        </w:rPr>
        <w:t xml:space="preserve">Werde ich mit meiner Sprache/meinen Sprachen anerkannt oder abgelehnt? </w:t>
      </w:r>
    </w:p>
    <w:p w:rsidR="00923737" w:rsidRPr="002763F0" w:rsidRDefault="00923737" w:rsidP="00923737">
      <w:pPr>
        <w:pStyle w:val="MittleresRaster1-Akzent21"/>
        <w:numPr>
          <w:ilvl w:val="0"/>
          <w:numId w:val="3"/>
        </w:numPr>
        <w:jc w:val="both"/>
        <w:rPr>
          <w:rFonts w:ascii="PT Sans" w:hAnsi="PT Sans"/>
          <w:sz w:val="22"/>
          <w:szCs w:val="22"/>
        </w:rPr>
      </w:pPr>
      <w:r w:rsidRPr="002763F0">
        <w:rPr>
          <w:rFonts w:ascii="PT Sans" w:hAnsi="PT Sans"/>
          <w:sz w:val="22"/>
          <w:szCs w:val="22"/>
        </w:rPr>
        <w:t xml:space="preserve">Werde ich als mehrsprachige Person als legitime </w:t>
      </w:r>
      <w:proofErr w:type="spellStart"/>
      <w:r w:rsidRPr="002763F0">
        <w:rPr>
          <w:rFonts w:ascii="PT Sans" w:hAnsi="PT Sans"/>
          <w:sz w:val="22"/>
          <w:szCs w:val="22"/>
        </w:rPr>
        <w:t>Sprecher</w:t>
      </w:r>
      <w:r>
        <w:rPr>
          <w:rFonts w:ascii="PT Sans" w:hAnsi="PT Sans"/>
          <w:sz w:val="22"/>
          <w:szCs w:val="22"/>
        </w:rPr>
        <w:t>I</w:t>
      </w:r>
      <w:r w:rsidRPr="002763F0">
        <w:rPr>
          <w:rFonts w:ascii="PT Sans" w:hAnsi="PT Sans"/>
          <w:sz w:val="22"/>
          <w:szCs w:val="22"/>
        </w:rPr>
        <w:t>n</w:t>
      </w:r>
      <w:proofErr w:type="spellEnd"/>
      <w:r w:rsidRPr="002763F0">
        <w:rPr>
          <w:rFonts w:ascii="PT Sans" w:hAnsi="PT Sans"/>
          <w:sz w:val="22"/>
          <w:szCs w:val="22"/>
        </w:rPr>
        <w:t xml:space="preserve"> (an)erkannt oder werden meine Äußerungen an einer einsprachigen Norm gemessen und Abweichungen sanktioniert?</w:t>
      </w:r>
    </w:p>
    <w:p w:rsidR="00923737" w:rsidRPr="002763F0" w:rsidRDefault="00923737" w:rsidP="00923737">
      <w:pPr>
        <w:jc w:val="both"/>
        <w:rPr>
          <w:rFonts w:ascii="PT Sans" w:hAnsi="PT Sans"/>
          <w:sz w:val="22"/>
          <w:szCs w:val="22"/>
        </w:rPr>
      </w:pPr>
    </w:p>
    <w:p w:rsidR="00923737" w:rsidRPr="002763F0" w:rsidRDefault="00923737" w:rsidP="00923737">
      <w:pPr>
        <w:jc w:val="both"/>
        <w:rPr>
          <w:rFonts w:ascii="PT Sans" w:hAnsi="PT Sans"/>
          <w:sz w:val="22"/>
          <w:szCs w:val="22"/>
        </w:rPr>
      </w:pPr>
      <w:r w:rsidRPr="002763F0">
        <w:rPr>
          <w:rFonts w:ascii="PT Sans" w:hAnsi="PT Sans"/>
          <w:sz w:val="22"/>
          <w:szCs w:val="22"/>
        </w:rPr>
        <w:t>Mehrsprachig zu sein, kann in einsprachig ausgerichteten Kontexten auch bedeuten, nationalen Identitätskonstruktionen unterworfen zu werden, die einander scheinbar ausschließen. „Fühlst Du Dich nun (mehr) als Österreicherin oder (mehr) als XXX (Türkin, Ungarin, Slowakin ...)?“. Besonders bei Menschen, die selbstverständlich mit beiden Sprachen aufgewachsen sind, trifft diese Frage vor allem auf Ratlosigkeit. Sowenig wie mehrsprachige Menschen doppelt einsprachig sind, sowenig ist ihre gefühlte Zugehörigkeit zu einer (nationalen) Gruppe eindeutig definierbar. Mehrsprachig aufzuwachsen bedeutet nicht nur sprachlich über ein dynamisches und sich ergänzendes Repertoire zu verfügen, sondern auch in Fragen der Zugehörigkeit über eine Vielzahl an Möglichkeiten.</w:t>
      </w:r>
      <w:r>
        <w:rPr>
          <w:rFonts w:ascii="PT Sans" w:hAnsi="PT Sans"/>
          <w:sz w:val="22"/>
          <w:szCs w:val="22"/>
        </w:rPr>
        <w:t xml:space="preserve"> </w:t>
      </w:r>
      <w:r w:rsidRPr="002763F0">
        <w:rPr>
          <w:rFonts w:ascii="PT Sans" w:hAnsi="PT Sans"/>
          <w:sz w:val="22"/>
          <w:szCs w:val="22"/>
        </w:rPr>
        <w:t xml:space="preserve">So wie das mehrsprachige Repertoire etwas Eigenes ist, das </w:t>
      </w:r>
      <w:r w:rsidRPr="002763F0">
        <w:rPr>
          <w:rFonts w:ascii="PT Sans" w:hAnsi="PT Sans"/>
          <w:sz w:val="22"/>
          <w:szCs w:val="22"/>
        </w:rPr>
        <w:lastRenderedPageBreak/>
        <w:t>mehr als die Summe der Einzelsprachen darstellt, gilt für mehrsprachig aufgewachsene oder gewordene Menschen, das</w:t>
      </w:r>
      <w:r>
        <w:rPr>
          <w:rFonts w:ascii="PT Sans" w:hAnsi="PT Sans"/>
          <w:sz w:val="22"/>
          <w:szCs w:val="22"/>
        </w:rPr>
        <w:t>s</w:t>
      </w:r>
      <w:r w:rsidRPr="002763F0">
        <w:rPr>
          <w:rFonts w:ascii="PT Sans" w:hAnsi="PT Sans"/>
          <w:sz w:val="22"/>
          <w:szCs w:val="22"/>
        </w:rPr>
        <w:t xml:space="preserve"> ihre Identitätsentwürfe etwas Eigenes sind. Tarek </w:t>
      </w:r>
      <w:proofErr w:type="spellStart"/>
      <w:r w:rsidRPr="002763F0">
        <w:rPr>
          <w:rFonts w:ascii="PT Sans" w:hAnsi="PT Sans"/>
          <w:sz w:val="22"/>
          <w:szCs w:val="22"/>
        </w:rPr>
        <w:t>Badawia</w:t>
      </w:r>
      <w:proofErr w:type="spellEnd"/>
      <w:r w:rsidRPr="002763F0">
        <w:rPr>
          <w:rFonts w:ascii="PT Sans" w:hAnsi="PT Sans"/>
          <w:sz w:val="22"/>
          <w:szCs w:val="22"/>
        </w:rPr>
        <w:t xml:space="preserve"> (2002) hat die Identitätsentwürfe bildungserfolgreicher Jugendlicher der 2. Generation in Deutschland erforscht und festgestellt, dass sie sich einer eindeutigen Zuordnung und Zuschreibung entziehen und sich </w:t>
      </w:r>
      <w:r>
        <w:rPr>
          <w:rFonts w:ascii="PT Sans" w:hAnsi="PT Sans"/>
          <w:sz w:val="22"/>
          <w:szCs w:val="22"/>
        </w:rPr>
        <w:t xml:space="preserve">die Jugendlichen </w:t>
      </w:r>
      <w:r w:rsidRPr="002763F0">
        <w:rPr>
          <w:rFonts w:ascii="PT Sans" w:hAnsi="PT Sans"/>
          <w:sz w:val="22"/>
          <w:szCs w:val="22"/>
        </w:rPr>
        <w:t>einen „3. Stuhl“ konstruieren, auf den sie sich setzen.</w:t>
      </w:r>
    </w:p>
    <w:p w:rsidR="00923737" w:rsidRPr="00CE5F8E" w:rsidRDefault="00923737" w:rsidP="00923737">
      <w:pPr>
        <w:pStyle w:val="berschrift1"/>
      </w:pPr>
      <w:r>
        <w:t>Die eigene Sprach(lern)</w:t>
      </w:r>
      <w:proofErr w:type="spellStart"/>
      <w:r>
        <w:t>biograph</w:t>
      </w:r>
      <w:r w:rsidRPr="00CE5F8E">
        <w:t>ie</w:t>
      </w:r>
      <w:proofErr w:type="spellEnd"/>
    </w:p>
    <w:p w:rsidR="00923737" w:rsidRPr="001C3F7F" w:rsidRDefault="00923737" w:rsidP="00923737">
      <w:pPr>
        <w:jc w:val="both"/>
        <w:rPr>
          <w:rFonts w:ascii="PT Sans" w:hAnsi="PT Sans"/>
          <w:sz w:val="22"/>
          <w:szCs w:val="22"/>
        </w:rPr>
      </w:pPr>
      <w:r w:rsidRPr="001C3F7F">
        <w:rPr>
          <w:rFonts w:ascii="PT Sans" w:hAnsi="PT Sans"/>
          <w:sz w:val="22"/>
          <w:szCs w:val="22"/>
        </w:rPr>
        <w:t>Bei der Beschäftigung mit dem Zusammenhang von Mehrsprachigkeit und Identität ist es wichtig, die eigene Sprach(lern)</w:t>
      </w:r>
      <w:proofErr w:type="spellStart"/>
      <w:r w:rsidRPr="001C3F7F">
        <w:rPr>
          <w:rFonts w:ascii="PT Sans" w:hAnsi="PT Sans"/>
          <w:sz w:val="22"/>
          <w:szCs w:val="22"/>
        </w:rPr>
        <w:t>biographie</w:t>
      </w:r>
      <w:proofErr w:type="spellEnd"/>
      <w:r w:rsidRPr="001C3F7F">
        <w:rPr>
          <w:rFonts w:ascii="PT Sans" w:hAnsi="PT Sans"/>
          <w:sz w:val="22"/>
          <w:szCs w:val="22"/>
        </w:rPr>
        <w:t xml:space="preserve"> zu erkunden und zum Ausgangspunkt eigener theoretischer und praktischer Annäherungen an Fragen der Sprachvermittlung und des Spracherwerbs zu machen.</w:t>
      </w:r>
      <w:r>
        <w:rPr>
          <w:rFonts w:ascii="PT Sans" w:hAnsi="PT Sans"/>
          <w:sz w:val="22"/>
          <w:szCs w:val="22"/>
        </w:rPr>
        <w:t xml:space="preserve"> </w:t>
      </w:r>
      <w:r w:rsidRPr="001C3F7F">
        <w:rPr>
          <w:rFonts w:ascii="PT Sans" w:hAnsi="PT Sans"/>
          <w:sz w:val="22"/>
          <w:szCs w:val="22"/>
        </w:rPr>
        <w:t xml:space="preserve">Damit soll vermieden werden, dass das Thema bei „den Anderen“, den Kindern oder Eltern bleibt und lediglich „über“ mehrsprachige Personen gesprochen wird. </w:t>
      </w:r>
    </w:p>
    <w:p w:rsidR="00923737" w:rsidRPr="001C3F7F" w:rsidRDefault="00923737" w:rsidP="00923737">
      <w:pPr>
        <w:jc w:val="both"/>
        <w:rPr>
          <w:rFonts w:ascii="PT Sans" w:hAnsi="PT Sans"/>
          <w:sz w:val="22"/>
          <w:szCs w:val="22"/>
        </w:rPr>
      </w:pPr>
    </w:p>
    <w:p w:rsidR="00923737" w:rsidRPr="001C3F7F" w:rsidRDefault="00923737" w:rsidP="00923737">
      <w:pPr>
        <w:jc w:val="both"/>
        <w:rPr>
          <w:rFonts w:ascii="PT Sans" w:hAnsi="PT Sans"/>
          <w:sz w:val="22"/>
          <w:szCs w:val="22"/>
        </w:rPr>
      </w:pPr>
      <w:r w:rsidRPr="001C3F7F">
        <w:rPr>
          <w:rFonts w:ascii="PT Sans" w:hAnsi="PT Sans"/>
          <w:sz w:val="22"/>
          <w:szCs w:val="22"/>
        </w:rPr>
        <w:t>Sprachenportraits</w:t>
      </w:r>
      <w:r>
        <w:rPr>
          <w:rFonts w:ascii="PT Sans" w:hAnsi="PT Sans"/>
          <w:sz w:val="22"/>
          <w:szCs w:val="22"/>
        </w:rPr>
        <w:t xml:space="preserve"> (Krumm/Jenkins 2001)</w:t>
      </w:r>
      <w:r>
        <w:rPr>
          <w:rStyle w:val="Funotenzeichen"/>
          <w:rFonts w:ascii="PT Sans" w:hAnsi="PT Sans"/>
          <w:sz w:val="22"/>
          <w:szCs w:val="22"/>
        </w:rPr>
        <w:footnoteReference w:id="1"/>
      </w:r>
      <w:r w:rsidRPr="001C3F7F">
        <w:rPr>
          <w:rFonts w:ascii="PT Sans" w:hAnsi="PT Sans"/>
          <w:sz w:val="22"/>
          <w:szCs w:val="22"/>
        </w:rPr>
        <w:t xml:space="preserve"> machen</w:t>
      </w:r>
      <w:r>
        <w:rPr>
          <w:rFonts w:ascii="PT Sans" w:hAnsi="PT Sans"/>
          <w:sz w:val="22"/>
          <w:szCs w:val="22"/>
        </w:rPr>
        <w:t xml:space="preserve"> d</w:t>
      </w:r>
      <w:r w:rsidRPr="001C3F7F">
        <w:rPr>
          <w:rFonts w:ascii="PT Sans" w:hAnsi="PT Sans"/>
          <w:sz w:val="22"/>
          <w:szCs w:val="22"/>
        </w:rPr>
        <w:t>eutlich, dass unser sprachliches Repertoire</w:t>
      </w:r>
      <w:r>
        <w:rPr>
          <w:rFonts w:ascii="PT Sans" w:hAnsi="PT Sans"/>
          <w:sz w:val="22"/>
          <w:szCs w:val="22"/>
        </w:rPr>
        <w:t xml:space="preserve"> </w:t>
      </w:r>
      <w:r w:rsidRPr="001C3F7F">
        <w:rPr>
          <w:rFonts w:ascii="PT Sans" w:hAnsi="PT Sans"/>
          <w:sz w:val="22"/>
          <w:szCs w:val="22"/>
        </w:rPr>
        <w:t>weitaus komplexer ist</w:t>
      </w:r>
      <w:r>
        <w:rPr>
          <w:rFonts w:ascii="PT Sans" w:hAnsi="PT Sans"/>
          <w:sz w:val="22"/>
          <w:szCs w:val="22"/>
        </w:rPr>
        <w:t>,</w:t>
      </w:r>
      <w:r w:rsidRPr="001C3F7F">
        <w:rPr>
          <w:rFonts w:ascii="PT Sans" w:hAnsi="PT Sans"/>
          <w:sz w:val="22"/>
          <w:szCs w:val="22"/>
        </w:rPr>
        <w:t xml:space="preserve"> als es im Alltagsverständnis üblicherweise wahrgenommen wird.</w:t>
      </w:r>
      <w:r>
        <w:rPr>
          <w:rFonts w:ascii="PT Sans" w:hAnsi="PT Sans"/>
          <w:sz w:val="22"/>
          <w:szCs w:val="22"/>
        </w:rPr>
        <w:t xml:space="preserve"> </w:t>
      </w:r>
      <w:r w:rsidRPr="001C3F7F">
        <w:rPr>
          <w:rFonts w:ascii="PT Sans" w:hAnsi="PT Sans"/>
          <w:sz w:val="22"/>
          <w:szCs w:val="22"/>
        </w:rPr>
        <w:t xml:space="preserve">Sie zeigen, dass unsere Sprachen eng mit unserer Lebensgeschichte verbunden </w:t>
      </w:r>
      <w:r>
        <w:rPr>
          <w:rFonts w:ascii="PT Sans" w:hAnsi="PT Sans"/>
          <w:sz w:val="22"/>
          <w:szCs w:val="22"/>
        </w:rPr>
        <w:t xml:space="preserve">sind </w:t>
      </w:r>
      <w:r w:rsidRPr="001C3F7F">
        <w:rPr>
          <w:rFonts w:ascii="PT Sans" w:hAnsi="PT Sans"/>
          <w:sz w:val="22"/>
          <w:szCs w:val="22"/>
        </w:rPr>
        <w:t xml:space="preserve">und nicht alle Sprachen, die wir als Teil von uns verstehen, sind es zu jedem Zeitpunkt in gleichem Maße. Wenn wir ein solches Sprachenportrait über unser Leben hinweg immer wieder anfertigen würden, </w:t>
      </w:r>
      <w:r>
        <w:rPr>
          <w:rFonts w:ascii="PT Sans" w:hAnsi="PT Sans"/>
          <w:sz w:val="22"/>
          <w:szCs w:val="22"/>
        </w:rPr>
        <w:t>wäre</w:t>
      </w:r>
      <w:r w:rsidRPr="001C3F7F">
        <w:rPr>
          <w:rFonts w:ascii="PT Sans" w:hAnsi="PT Sans"/>
          <w:sz w:val="22"/>
          <w:szCs w:val="22"/>
        </w:rPr>
        <w:t xml:space="preserve"> deutlich </w:t>
      </w:r>
      <w:r>
        <w:rPr>
          <w:rFonts w:ascii="PT Sans" w:hAnsi="PT Sans"/>
          <w:sz w:val="22"/>
          <w:szCs w:val="22"/>
        </w:rPr>
        <w:t>erkennbar</w:t>
      </w:r>
      <w:r w:rsidRPr="001C3F7F">
        <w:rPr>
          <w:rFonts w:ascii="PT Sans" w:hAnsi="PT Sans"/>
          <w:sz w:val="22"/>
          <w:szCs w:val="22"/>
        </w:rPr>
        <w:t xml:space="preserve">, dass sich unser sprachliches Repertoire laufend verändert, dass manche </w:t>
      </w:r>
      <w:r>
        <w:rPr>
          <w:rFonts w:ascii="PT Sans" w:hAnsi="PT Sans"/>
          <w:sz w:val="22"/>
          <w:szCs w:val="22"/>
        </w:rPr>
        <w:t>unserer Sprachen</w:t>
      </w:r>
      <w:r w:rsidRPr="001C3F7F">
        <w:rPr>
          <w:rFonts w:ascii="PT Sans" w:hAnsi="PT Sans"/>
          <w:sz w:val="22"/>
          <w:szCs w:val="22"/>
        </w:rPr>
        <w:t xml:space="preserve"> stärker </w:t>
      </w:r>
      <w:r>
        <w:rPr>
          <w:rFonts w:ascii="PT Sans" w:hAnsi="PT Sans"/>
          <w:sz w:val="22"/>
          <w:szCs w:val="22"/>
        </w:rPr>
        <w:t>oder</w:t>
      </w:r>
      <w:r w:rsidRPr="001C3F7F">
        <w:rPr>
          <w:rFonts w:ascii="PT Sans" w:hAnsi="PT Sans"/>
          <w:sz w:val="22"/>
          <w:szCs w:val="22"/>
        </w:rPr>
        <w:t xml:space="preserve"> schwächer werden, neue hinzukommen, andere </w:t>
      </w:r>
      <w:r>
        <w:rPr>
          <w:rFonts w:ascii="PT Sans" w:hAnsi="PT Sans"/>
          <w:sz w:val="22"/>
          <w:szCs w:val="22"/>
        </w:rPr>
        <w:t xml:space="preserve">scheinbar </w:t>
      </w:r>
      <w:r w:rsidRPr="001C3F7F">
        <w:rPr>
          <w:rFonts w:ascii="PT Sans" w:hAnsi="PT Sans"/>
          <w:sz w:val="22"/>
          <w:szCs w:val="22"/>
        </w:rPr>
        <w:t xml:space="preserve">verloren gehen. Es würde sichtbar werden, dass </w:t>
      </w:r>
      <w:r>
        <w:rPr>
          <w:rFonts w:ascii="PT Sans" w:hAnsi="PT Sans"/>
          <w:sz w:val="22"/>
          <w:szCs w:val="22"/>
        </w:rPr>
        <w:t>s</w:t>
      </w:r>
      <w:r w:rsidRPr="001C3F7F">
        <w:rPr>
          <w:rFonts w:ascii="PT Sans" w:hAnsi="PT Sans"/>
          <w:sz w:val="22"/>
          <w:szCs w:val="22"/>
        </w:rPr>
        <w:t xml:space="preserve">ich unsere Gefühle zu </w:t>
      </w:r>
      <w:r>
        <w:rPr>
          <w:rFonts w:ascii="PT Sans" w:hAnsi="PT Sans"/>
          <w:sz w:val="22"/>
          <w:szCs w:val="22"/>
        </w:rPr>
        <w:t>unseren</w:t>
      </w:r>
      <w:r w:rsidRPr="001C3F7F">
        <w:rPr>
          <w:rFonts w:ascii="PT Sans" w:hAnsi="PT Sans"/>
          <w:sz w:val="22"/>
          <w:szCs w:val="22"/>
        </w:rPr>
        <w:t xml:space="preserve"> verschiedenen </w:t>
      </w:r>
      <w:r>
        <w:rPr>
          <w:rFonts w:ascii="PT Sans" w:hAnsi="PT Sans"/>
          <w:sz w:val="22"/>
          <w:szCs w:val="22"/>
        </w:rPr>
        <w:t>Sprachen</w:t>
      </w:r>
      <w:r w:rsidRPr="001C3F7F">
        <w:rPr>
          <w:rFonts w:ascii="PT Sans" w:hAnsi="PT Sans"/>
          <w:sz w:val="22"/>
          <w:szCs w:val="22"/>
        </w:rPr>
        <w:t xml:space="preserve"> </w:t>
      </w:r>
      <w:r w:rsidRPr="001C3F7F">
        <w:rPr>
          <w:rFonts w:ascii="PT Sans" w:hAnsi="PT Sans"/>
          <w:sz w:val="22"/>
          <w:szCs w:val="22"/>
        </w:rPr>
        <w:t>verändern, je nachdem</w:t>
      </w:r>
      <w:r>
        <w:rPr>
          <w:rFonts w:ascii="PT Sans" w:hAnsi="PT Sans"/>
          <w:sz w:val="22"/>
          <w:szCs w:val="22"/>
        </w:rPr>
        <w:t>,</w:t>
      </w:r>
      <w:r w:rsidRPr="001C3F7F">
        <w:rPr>
          <w:rFonts w:ascii="PT Sans" w:hAnsi="PT Sans"/>
          <w:sz w:val="22"/>
          <w:szCs w:val="22"/>
        </w:rPr>
        <w:t xml:space="preserve"> in welcher Form sie zum gegebenen Zeitpunkt mit unserem Leben verbunden sind.</w:t>
      </w:r>
      <w:r>
        <w:rPr>
          <w:rFonts w:ascii="PT Sans" w:hAnsi="PT Sans"/>
          <w:sz w:val="22"/>
          <w:szCs w:val="22"/>
        </w:rPr>
        <w:t xml:space="preserve"> </w:t>
      </w:r>
      <w:r w:rsidRPr="001C3F7F">
        <w:rPr>
          <w:rFonts w:ascii="PT Sans" w:hAnsi="PT Sans"/>
          <w:sz w:val="22"/>
          <w:szCs w:val="22"/>
        </w:rPr>
        <w:t xml:space="preserve">Wir könnten deutlich sehen, dass unser sprachliches Vermögen nichts </w:t>
      </w:r>
      <w:r>
        <w:rPr>
          <w:rFonts w:ascii="PT Sans" w:hAnsi="PT Sans"/>
          <w:sz w:val="22"/>
          <w:szCs w:val="22"/>
        </w:rPr>
        <w:t>S</w:t>
      </w:r>
      <w:r w:rsidRPr="001C3F7F">
        <w:rPr>
          <w:rFonts w:ascii="PT Sans" w:hAnsi="PT Sans"/>
          <w:sz w:val="22"/>
          <w:szCs w:val="22"/>
        </w:rPr>
        <w:t xml:space="preserve">tatisches und </w:t>
      </w:r>
      <w:r>
        <w:rPr>
          <w:rFonts w:ascii="PT Sans" w:hAnsi="PT Sans"/>
          <w:sz w:val="22"/>
          <w:szCs w:val="22"/>
        </w:rPr>
        <w:t>I</w:t>
      </w:r>
      <w:r w:rsidRPr="001C3F7F">
        <w:rPr>
          <w:rFonts w:ascii="PT Sans" w:hAnsi="PT Sans"/>
          <w:sz w:val="22"/>
          <w:szCs w:val="22"/>
        </w:rPr>
        <w:t>n</w:t>
      </w:r>
      <w:r>
        <w:rPr>
          <w:rFonts w:ascii="PT Sans" w:hAnsi="PT Sans"/>
          <w:sz w:val="22"/>
          <w:szCs w:val="22"/>
        </w:rPr>
        <w:t>-</w:t>
      </w:r>
      <w:r w:rsidRPr="001C3F7F">
        <w:rPr>
          <w:rFonts w:ascii="PT Sans" w:hAnsi="PT Sans"/>
          <w:sz w:val="22"/>
          <w:szCs w:val="22"/>
        </w:rPr>
        <w:t>sich</w:t>
      </w:r>
      <w:r>
        <w:rPr>
          <w:rFonts w:ascii="PT Sans" w:hAnsi="PT Sans"/>
          <w:sz w:val="22"/>
          <w:szCs w:val="22"/>
        </w:rPr>
        <w:t>-G</w:t>
      </w:r>
      <w:r w:rsidRPr="001C3F7F">
        <w:rPr>
          <w:rFonts w:ascii="PT Sans" w:hAnsi="PT Sans"/>
          <w:sz w:val="22"/>
          <w:szCs w:val="22"/>
        </w:rPr>
        <w:t xml:space="preserve">eschlossenes ist, sondern dynamisch. </w:t>
      </w:r>
    </w:p>
    <w:p w:rsidR="00923737" w:rsidRPr="001C3F7F" w:rsidRDefault="00923737" w:rsidP="00923737">
      <w:pPr>
        <w:jc w:val="both"/>
        <w:rPr>
          <w:rFonts w:ascii="PT Sans" w:hAnsi="PT Sans"/>
          <w:sz w:val="22"/>
          <w:szCs w:val="22"/>
        </w:rPr>
      </w:pPr>
    </w:p>
    <w:p w:rsidR="00923737" w:rsidRPr="001C3F7F" w:rsidRDefault="00923737" w:rsidP="00923737">
      <w:pPr>
        <w:jc w:val="both"/>
        <w:rPr>
          <w:rFonts w:ascii="PT Sans" w:hAnsi="PT Sans"/>
          <w:sz w:val="22"/>
          <w:szCs w:val="22"/>
        </w:rPr>
      </w:pPr>
      <w:r w:rsidRPr="001C3F7F">
        <w:rPr>
          <w:rFonts w:ascii="PT Sans" w:hAnsi="PT Sans"/>
          <w:sz w:val="22"/>
          <w:szCs w:val="22"/>
        </w:rPr>
        <w:t xml:space="preserve">Sprachenportraits können die innere und die lebensweltliche Mehrsprachigkeit sichtbar machen. Sie zeigen, dass verschiedene Sprachen Teil unserer Lebenswelt sind, ganz unabhängig davon, ob und wie gut wir sie beherrschen und ob sie anerkannte Sprachen sind. In Sprachenportraits finden sich Dialekte oder Jargons ebenso </w:t>
      </w:r>
      <w:r>
        <w:rPr>
          <w:rFonts w:ascii="PT Sans" w:hAnsi="PT Sans"/>
          <w:sz w:val="22"/>
          <w:szCs w:val="22"/>
        </w:rPr>
        <w:t xml:space="preserve">wieder, </w:t>
      </w:r>
      <w:r w:rsidRPr="001C3F7F">
        <w:rPr>
          <w:rFonts w:ascii="PT Sans" w:hAnsi="PT Sans"/>
          <w:sz w:val="22"/>
          <w:szCs w:val="22"/>
        </w:rPr>
        <w:t>wie ganz persönliche relevante Codes wie „Katzensprache“ oder paraverbale Kommunikationsmittel wie „Musik</w:t>
      </w:r>
      <w:r>
        <w:rPr>
          <w:rFonts w:ascii="PT Sans" w:hAnsi="PT Sans"/>
          <w:sz w:val="22"/>
          <w:szCs w:val="22"/>
        </w:rPr>
        <w:t>“</w:t>
      </w:r>
      <w:r w:rsidRPr="001C3F7F">
        <w:rPr>
          <w:rFonts w:ascii="PT Sans" w:hAnsi="PT Sans"/>
          <w:sz w:val="22"/>
          <w:szCs w:val="22"/>
        </w:rPr>
        <w:t xml:space="preserve"> oder „Körpersprache“. </w:t>
      </w:r>
      <w:r w:rsidRPr="00170AF2">
        <w:rPr>
          <w:rFonts w:ascii="PT Sans" w:hAnsi="PT Sans"/>
          <w:sz w:val="22"/>
          <w:szCs w:val="22"/>
        </w:rPr>
        <w:t>Auch</w:t>
      </w:r>
      <w:r w:rsidRPr="001C3F7F">
        <w:rPr>
          <w:rFonts w:ascii="PT Sans" w:hAnsi="PT Sans"/>
          <w:sz w:val="22"/>
          <w:szCs w:val="22"/>
        </w:rPr>
        <w:t xml:space="preserve"> „Sehnsuchtssprachen“ </w:t>
      </w:r>
      <w:r>
        <w:rPr>
          <w:rFonts w:ascii="PT Sans" w:hAnsi="PT Sans"/>
          <w:sz w:val="22"/>
          <w:szCs w:val="22"/>
        </w:rPr>
        <w:t>kommen</w:t>
      </w:r>
      <w:r w:rsidRPr="001C3F7F">
        <w:rPr>
          <w:rFonts w:ascii="PT Sans" w:hAnsi="PT Sans"/>
          <w:sz w:val="22"/>
          <w:szCs w:val="22"/>
        </w:rPr>
        <w:t xml:space="preserve"> in Sprachenportraits </w:t>
      </w:r>
      <w:r>
        <w:rPr>
          <w:rFonts w:ascii="PT Sans" w:hAnsi="PT Sans"/>
          <w:sz w:val="22"/>
          <w:szCs w:val="22"/>
        </w:rPr>
        <w:t xml:space="preserve">vor. Es sind jene, </w:t>
      </w:r>
      <w:r w:rsidRPr="001C3F7F">
        <w:rPr>
          <w:rFonts w:ascii="PT Sans" w:hAnsi="PT Sans"/>
          <w:sz w:val="22"/>
          <w:szCs w:val="22"/>
        </w:rPr>
        <w:t xml:space="preserve">die man gerne hört, mit denen man etwas </w:t>
      </w:r>
      <w:r>
        <w:rPr>
          <w:rFonts w:ascii="PT Sans" w:hAnsi="PT Sans"/>
          <w:sz w:val="22"/>
          <w:szCs w:val="22"/>
        </w:rPr>
        <w:t>B</w:t>
      </w:r>
      <w:r w:rsidRPr="001C3F7F">
        <w:rPr>
          <w:rFonts w:ascii="PT Sans" w:hAnsi="PT Sans"/>
          <w:sz w:val="22"/>
          <w:szCs w:val="22"/>
        </w:rPr>
        <w:t xml:space="preserve">esonderes verbindet und die man gerne sprechen könnte. </w:t>
      </w:r>
    </w:p>
    <w:p w:rsidR="00923737" w:rsidRPr="002763F0" w:rsidRDefault="00923737" w:rsidP="00923737">
      <w:pPr>
        <w:pStyle w:val="berschrift1"/>
      </w:pPr>
      <w:r w:rsidRPr="002763F0">
        <w:t>Literatur und Anregungen</w:t>
      </w:r>
    </w:p>
    <w:p w:rsidR="00923737" w:rsidRPr="001C3F7F" w:rsidRDefault="00923737" w:rsidP="00923737">
      <w:pPr>
        <w:ind w:hanging="284"/>
        <w:jc w:val="both"/>
        <w:rPr>
          <w:rFonts w:ascii="PT Sans" w:hAnsi="PT Sans"/>
          <w:sz w:val="22"/>
          <w:szCs w:val="22"/>
          <w:lang w:val="de-AT"/>
        </w:rPr>
      </w:pPr>
      <w:proofErr w:type="spellStart"/>
      <w:r w:rsidRPr="001C3F7F">
        <w:rPr>
          <w:rFonts w:ascii="PT Sans" w:hAnsi="PT Sans"/>
          <w:sz w:val="22"/>
          <w:szCs w:val="22"/>
          <w:lang w:val="de-AT"/>
        </w:rPr>
        <w:t>Badawia</w:t>
      </w:r>
      <w:proofErr w:type="spellEnd"/>
      <w:r w:rsidRPr="001C3F7F">
        <w:rPr>
          <w:rFonts w:ascii="PT Sans" w:hAnsi="PT Sans"/>
          <w:sz w:val="22"/>
          <w:szCs w:val="22"/>
          <w:lang w:val="de-AT"/>
        </w:rPr>
        <w:t>, T</w:t>
      </w:r>
      <w:r>
        <w:rPr>
          <w:rFonts w:ascii="PT Sans" w:hAnsi="PT Sans"/>
          <w:sz w:val="22"/>
          <w:szCs w:val="22"/>
          <w:lang w:val="de-AT"/>
        </w:rPr>
        <w:t>arek</w:t>
      </w:r>
      <w:r w:rsidRPr="001C3F7F">
        <w:rPr>
          <w:rFonts w:ascii="PT Sans" w:hAnsi="PT Sans"/>
          <w:sz w:val="22"/>
          <w:szCs w:val="22"/>
          <w:lang w:val="de-AT"/>
        </w:rPr>
        <w:t xml:space="preserve"> (2002)</w:t>
      </w:r>
      <w:r>
        <w:rPr>
          <w:rFonts w:ascii="PT Sans" w:hAnsi="PT Sans"/>
          <w:sz w:val="22"/>
          <w:szCs w:val="22"/>
          <w:lang w:val="de-AT"/>
        </w:rPr>
        <w:t>,</w:t>
      </w:r>
      <w:r w:rsidRPr="001C3F7F">
        <w:rPr>
          <w:rFonts w:ascii="PT Sans" w:hAnsi="PT Sans"/>
          <w:sz w:val="22"/>
          <w:szCs w:val="22"/>
          <w:lang w:val="de-AT"/>
        </w:rPr>
        <w:t xml:space="preserve"> </w:t>
      </w:r>
      <w:r>
        <w:rPr>
          <w:rFonts w:ascii="PT Sans" w:hAnsi="PT Sans"/>
          <w:i/>
          <w:sz w:val="22"/>
          <w:szCs w:val="22"/>
          <w:lang w:val="de-AT"/>
        </w:rPr>
        <w:t>„</w:t>
      </w:r>
      <w:r w:rsidRPr="001C3F7F">
        <w:rPr>
          <w:rFonts w:ascii="PT Sans" w:hAnsi="PT Sans"/>
          <w:i/>
          <w:sz w:val="22"/>
          <w:szCs w:val="22"/>
          <w:lang w:val="de-AT"/>
        </w:rPr>
        <w:t>Der dritte Stuhl</w:t>
      </w:r>
      <w:r>
        <w:rPr>
          <w:rFonts w:ascii="PT Sans" w:hAnsi="PT Sans"/>
          <w:i/>
          <w:sz w:val="22"/>
          <w:szCs w:val="22"/>
          <w:lang w:val="de-AT"/>
        </w:rPr>
        <w:t>“</w:t>
      </w:r>
      <w:r w:rsidRPr="001C3F7F">
        <w:rPr>
          <w:rFonts w:ascii="PT Sans" w:hAnsi="PT Sans"/>
          <w:i/>
          <w:sz w:val="22"/>
          <w:szCs w:val="22"/>
          <w:lang w:val="de-AT"/>
        </w:rPr>
        <w:t xml:space="preserve"> – Eine </w:t>
      </w:r>
      <w:proofErr w:type="spellStart"/>
      <w:r w:rsidRPr="001C3F7F">
        <w:rPr>
          <w:rFonts w:ascii="PT Sans" w:hAnsi="PT Sans"/>
          <w:i/>
          <w:sz w:val="22"/>
          <w:szCs w:val="22"/>
          <w:lang w:val="de-AT"/>
        </w:rPr>
        <w:t>Grounded</w:t>
      </w:r>
      <w:proofErr w:type="spellEnd"/>
      <w:r w:rsidRPr="001C3F7F">
        <w:rPr>
          <w:rFonts w:ascii="PT Sans" w:hAnsi="PT Sans"/>
          <w:i/>
          <w:sz w:val="22"/>
          <w:szCs w:val="22"/>
          <w:lang w:val="de-AT"/>
        </w:rPr>
        <w:t>-</w:t>
      </w:r>
      <w:proofErr w:type="spellStart"/>
      <w:r w:rsidRPr="001C3F7F">
        <w:rPr>
          <w:rFonts w:ascii="PT Sans" w:hAnsi="PT Sans"/>
          <w:i/>
          <w:sz w:val="22"/>
          <w:szCs w:val="22"/>
          <w:lang w:val="de-AT"/>
        </w:rPr>
        <w:t>Theory</w:t>
      </w:r>
      <w:proofErr w:type="spellEnd"/>
      <w:r w:rsidRPr="001C3F7F">
        <w:rPr>
          <w:rFonts w:ascii="PT Sans" w:hAnsi="PT Sans"/>
          <w:i/>
          <w:sz w:val="22"/>
          <w:szCs w:val="22"/>
          <w:lang w:val="de-AT"/>
        </w:rPr>
        <w:t>-Studie zum kreativen Umgang bildungserfolgreicher Immigrantenjugendlicher mit kultureller Differenz.</w:t>
      </w:r>
      <w:r w:rsidRPr="001C3F7F">
        <w:rPr>
          <w:rFonts w:ascii="PT Sans" w:hAnsi="PT Sans"/>
          <w:sz w:val="22"/>
          <w:szCs w:val="22"/>
          <w:lang w:val="de-AT"/>
        </w:rPr>
        <w:t xml:space="preserve"> Frankfurt a. M.</w:t>
      </w:r>
    </w:p>
    <w:p w:rsidR="00923737" w:rsidRPr="001C3F7F" w:rsidRDefault="00923737" w:rsidP="00923737">
      <w:pPr>
        <w:ind w:left="142" w:hanging="284"/>
        <w:jc w:val="both"/>
        <w:rPr>
          <w:rFonts w:ascii="PT Sans" w:hAnsi="PT Sans"/>
          <w:sz w:val="22"/>
          <w:szCs w:val="22"/>
          <w:lang w:val="de-AT"/>
        </w:rPr>
      </w:pPr>
      <w:r w:rsidRPr="001C3F7F">
        <w:rPr>
          <w:rFonts w:ascii="PT Sans" w:hAnsi="PT Sans"/>
          <w:sz w:val="22"/>
          <w:szCs w:val="22"/>
          <w:lang w:val="de-AT"/>
        </w:rPr>
        <w:t xml:space="preserve">Busch, Brigitta (2013), </w:t>
      </w:r>
      <w:r w:rsidRPr="001C3F7F">
        <w:rPr>
          <w:rFonts w:ascii="PT Sans" w:hAnsi="PT Sans"/>
          <w:i/>
          <w:sz w:val="22"/>
          <w:szCs w:val="22"/>
          <w:lang w:val="de-AT"/>
        </w:rPr>
        <w:t>Mehrsprachigkeit,</w:t>
      </w:r>
      <w:r w:rsidRPr="001C3F7F">
        <w:rPr>
          <w:rFonts w:ascii="PT Sans" w:hAnsi="PT Sans"/>
          <w:sz w:val="22"/>
          <w:szCs w:val="22"/>
          <w:lang w:val="de-AT"/>
        </w:rPr>
        <w:t xml:space="preserve"> Wien.</w:t>
      </w:r>
    </w:p>
    <w:p w:rsidR="00923737" w:rsidRPr="001C3F7F" w:rsidRDefault="00923737" w:rsidP="00923737">
      <w:pPr>
        <w:ind w:hanging="284"/>
        <w:jc w:val="both"/>
        <w:rPr>
          <w:rFonts w:ascii="PT Sans" w:hAnsi="PT Sans"/>
          <w:sz w:val="22"/>
          <w:szCs w:val="22"/>
          <w:lang w:val="de-AT"/>
        </w:rPr>
      </w:pPr>
      <w:r w:rsidRPr="001C3F7F">
        <w:rPr>
          <w:rFonts w:ascii="PT Sans" w:hAnsi="PT Sans"/>
          <w:sz w:val="22"/>
          <w:szCs w:val="22"/>
          <w:lang w:val="de-AT"/>
        </w:rPr>
        <w:t xml:space="preserve">Hoffmann, Eva (2004), </w:t>
      </w:r>
      <w:r w:rsidRPr="001C3F7F">
        <w:rPr>
          <w:rFonts w:ascii="PT Sans" w:hAnsi="PT Sans"/>
          <w:i/>
          <w:sz w:val="22"/>
          <w:szCs w:val="22"/>
          <w:lang w:val="de-AT"/>
        </w:rPr>
        <w:t>Lost in Translation. Ankommen in der Fremde.</w:t>
      </w:r>
      <w:r w:rsidRPr="001C3F7F">
        <w:rPr>
          <w:rFonts w:ascii="PT Sans" w:hAnsi="PT Sans"/>
          <w:sz w:val="22"/>
          <w:szCs w:val="22"/>
          <w:lang w:val="de-AT"/>
        </w:rPr>
        <w:t xml:space="preserve"> München.</w:t>
      </w:r>
    </w:p>
    <w:p w:rsidR="00923737" w:rsidRPr="001C3F7F" w:rsidRDefault="00923737" w:rsidP="00923737">
      <w:pPr>
        <w:ind w:hanging="284"/>
        <w:jc w:val="both"/>
        <w:rPr>
          <w:rFonts w:ascii="PT Sans" w:hAnsi="PT Sans"/>
          <w:sz w:val="22"/>
          <w:szCs w:val="22"/>
          <w:lang w:val="de-AT"/>
        </w:rPr>
      </w:pPr>
      <w:r w:rsidRPr="001C3F7F">
        <w:rPr>
          <w:rFonts w:ascii="PT Sans" w:hAnsi="PT Sans"/>
          <w:sz w:val="22"/>
          <w:szCs w:val="22"/>
          <w:lang w:val="de-AT"/>
        </w:rPr>
        <w:t>Keim, Inken (2009)</w:t>
      </w:r>
      <w:r>
        <w:rPr>
          <w:rFonts w:ascii="PT Sans" w:hAnsi="PT Sans"/>
          <w:sz w:val="22"/>
          <w:szCs w:val="22"/>
          <w:lang w:val="de-AT"/>
        </w:rPr>
        <w:t>,</w:t>
      </w:r>
      <w:r w:rsidRPr="001C3F7F">
        <w:rPr>
          <w:rFonts w:ascii="PT Sans" w:hAnsi="PT Sans"/>
          <w:sz w:val="22"/>
          <w:szCs w:val="22"/>
          <w:lang w:val="de-AT"/>
        </w:rPr>
        <w:t xml:space="preserve"> </w:t>
      </w:r>
      <w:r w:rsidRPr="001C3F7F">
        <w:rPr>
          <w:rFonts w:ascii="PT Sans" w:hAnsi="PT Sans"/>
          <w:i/>
          <w:sz w:val="22"/>
          <w:szCs w:val="22"/>
          <w:lang w:val="de-AT"/>
        </w:rPr>
        <w:t>Mehrsprachigkeit und sozial-kulturelle Identität: Migrantenjugendliche in Mannheim</w:t>
      </w:r>
      <w:r>
        <w:rPr>
          <w:rFonts w:ascii="PT Sans" w:hAnsi="PT Sans"/>
          <w:i/>
          <w:sz w:val="22"/>
          <w:szCs w:val="22"/>
          <w:lang w:val="de-AT"/>
        </w:rPr>
        <w:t>.</w:t>
      </w:r>
      <w:r w:rsidRPr="001C3F7F">
        <w:rPr>
          <w:rFonts w:ascii="PT Sans" w:hAnsi="PT Sans"/>
          <w:i/>
          <w:sz w:val="22"/>
          <w:szCs w:val="22"/>
          <w:lang w:val="de-AT"/>
        </w:rPr>
        <w:t xml:space="preserve"> Ergebnisse eines ethnografisch-soziolinguistischen Projekts.</w:t>
      </w:r>
      <w:r w:rsidRPr="001C3F7F">
        <w:rPr>
          <w:rFonts w:ascii="PT Sans" w:hAnsi="PT Sans"/>
          <w:sz w:val="22"/>
          <w:szCs w:val="22"/>
          <w:lang w:val="de-AT"/>
        </w:rPr>
        <w:t xml:space="preserve"> Vortragsfolien. </w:t>
      </w:r>
      <w:r w:rsidRPr="00EC34FE">
        <w:rPr>
          <w:rFonts w:ascii="PT Sans" w:hAnsi="PT Sans"/>
          <w:sz w:val="22"/>
          <w:szCs w:val="22"/>
          <w:lang w:val="de-AT"/>
        </w:rPr>
        <w:t xml:space="preserve">online abrufbar unter </w:t>
      </w:r>
      <w:hyperlink r:id="rId9" w:history="1">
        <w:r w:rsidRPr="001C3F7F">
          <w:rPr>
            <w:rStyle w:val="Link"/>
            <w:rFonts w:ascii="PT Sans" w:hAnsi="PT Sans"/>
            <w:sz w:val="22"/>
            <w:szCs w:val="22"/>
            <w:lang w:val="de-AT"/>
          </w:rPr>
          <w:t>https://</w:t>
        </w:r>
        <w:proofErr w:type="spellStart"/>
        <w:r w:rsidRPr="001C3F7F">
          <w:rPr>
            <w:rStyle w:val="Link"/>
            <w:rFonts w:ascii="PT Sans" w:hAnsi="PT Sans"/>
            <w:sz w:val="22"/>
            <w:szCs w:val="22"/>
            <w:lang w:val="de-AT"/>
          </w:rPr>
          <w:t>www.okay-line.at</w:t>
        </w:r>
        <w:proofErr w:type="spellEnd"/>
        <w:r w:rsidRPr="001C3F7F">
          <w:rPr>
            <w:rStyle w:val="Link"/>
            <w:rFonts w:ascii="PT Sans" w:hAnsi="PT Sans"/>
            <w:sz w:val="22"/>
            <w:szCs w:val="22"/>
            <w:lang w:val="de-AT"/>
          </w:rPr>
          <w:t>/</w:t>
        </w:r>
        <w:proofErr w:type="spellStart"/>
        <w:r w:rsidRPr="001C3F7F">
          <w:rPr>
            <w:rStyle w:val="Link"/>
            <w:rFonts w:ascii="PT Sans" w:hAnsi="PT Sans"/>
            <w:sz w:val="22"/>
            <w:szCs w:val="22"/>
            <w:lang w:val="de-AT"/>
          </w:rPr>
          <w:t>file</w:t>
        </w:r>
        <w:proofErr w:type="spellEnd"/>
        <w:r w:rsidRPr="001C3F7F">
          <w:rPr>
            <w:rStyle w:val="Link"/>
            <w:rFonts w:ascii="PT Sans" w:hAnsi="PT Sans"/>
            <w:sz w:val="22"/>
            <w:szCs w:val="22"/>
            <w:lang w:val="de-AT"/>
          </w:rPr>
          <w:t>/656/</w:t>
        </w:r>
        <w:proofErr w:type="spellStart"/>
        <w:r w:rsidRPr="001C3F7F">
          <w:rPr>
            <w:rStyle w:val="Link"/>
            <w:rFonts w:ascii="PT Sans" w:hAnsi="PT Sans"/>
            <w:sz w:val="22"/>
            <w:szCs w:val="22"/>
            <w:lang w:val="de-AT"/>
          </w:rPr>
          <w:t>vortrainkenkeim.pdf</w:t>
        </w:r>
        <w:proofErr w:type="spellEnd"/>
      </w:hyperlink>
    </w:p>
    <w:p w:rsidR="00923737" w:rsidRPr="002763F0" w:rsidRDefault="00923737" w:rsidP="00923737">
      <w:pPr>
        <w:ind w:hanging="284"/>
        <w:rPr>
          <w:rFonts w:ascii="PT Sans" w:hAnsi="PT Sans"/>
          <w:sz w:val="22"/>
          <w:szCs w:val="22"/>
          <w:lang w:val="de-AT"/>
        </w:rPr>
      </w:pPr>
      <w:r w:rsidRPr="001C3F7F">
        <w:rPr>
          <w:rFonts w:ascii="PT Sans" w:hAnsi="PT Sans"/>
          <w:sz w:val="22"/>
        </w:rPr>
        <w:t>Krumm, Hans-Jürgen</w:t>
      </w:r>
      <w:r>
        <w:rPr>
          <w:rFonts w:ascii="PT Sans" w:hAnsi="PT Sans"/>
          <w:sz w:val="22"/>
        </w:rPr>
        <w:t>/</w:t>
      </w:r>
      <w:r w:rsidRPr="001C3F7F">
        <w:rPr>
          <w:rFonts w:ascii="PT Sans" w:hAnsi="PT Sans"/>
          <w:sz w:val="22"/>
        </w:rPr>
        <w:t>Eva-Maria Jenkins</w:t>
      </w:r>
      <w:r>
        <w:rPr>
          <w:rFonts w:ascii="PT Sans" w:hAnsi="PT Sans"/>
          <w:sz w:val="22"/>
        </w:rPr>
        <w:t xml:space="preserve"> </w:t>
      </w:r>
      <w:r w:rsidRPr="001C3F7F">
        <w:rPr>
          <w:rFonts w:ascii="PT Sans" w:hAnsi="PT Sans"/>
          <w:sz w:val="22"/>
        </w:rPr>
        <w:t xml:space="preserve">(2001), </w:t>
      </w:r>
      <w:r w:rsidRPr="001C3F7F">
        <w:rPr>
          <w:rFonts w:ascii="PT Sans" w:hAnsi="PT Sans"/>
          <w:i/>
          <w:sz w:val="22"/>
        </w:rPr>
        <w:t>Kinder und ihre Sprachen – Lebendige Mehrsprachigkeit</w:t>
      </w:r>
      <w:r w:rsidRPr="001C3F7F">
        <w:rPr>
          <w:rFonts w:ascii="PT Sans" w:hAnsi="PT Sans"/>
          <w:sz w:val="22"/>
        </w:rPr>
        <w:t>. Wien.</w:t>
      </w:r>
      <w:bookmarkStart w:id="0" w:name="_GoBack"/>
      <w:bookmarkEnd w:id="0"/>
    </w:p>
    <w:sectPr w:rsidR="00923737" w:rsidRPr="002763F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37" w:rsidRDefault="00923737">
      <w:r>
        <w:separator/>
      </w:r>
    </w:p>
  </w:endnote>
  <w:endnote w:type="continuationSeparator" w:id="0">
    <w:p w:rsidR="00923737" w:rsidRDefault="0092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eastAsiaTheme="minorEastAsia" w:hAnsiTheme="minorHAnsi" w:cstheme="minorBidi"/>
                                      <w:sz w:val="14"/>
                                      <w:szCs w:val="22"/>
                                    </w:rPr>
                                    <w:fldChar w:fldCharType="begin"/>
                                  </w:r>
                                  <w:r w:rsidRPr="00F62E1E">
                                    <w:rPr>
                                      <w:sz w:val="14"/>
                                    </w:rPr>
                                    <w:instrText>PAGE  \* MERGEFORMAT</w:instrText>
                                  </w:r>
                                  <w:r w:rsidRPr="00F62E1E">
                                    <w:rPr>
                                      <w:rFonts w:asciiTheme="minorHAnsi" w:eastAsiaTheme="minorEastAsia" w:hAnsiTheme="minorHAnsi" w:cstheme="minorBidi"/>
                                      <w:sz w:val="14"/>
                                      <w:szCs w:val="22"/>
                                    </w:rPr>
                                    <w:fldChar w:fldCharType="separate"/>
                                  </w:r>
                                  <w:r w:rsidR="00923737" w:rsidRPr="00923737">
                                    <w:rPr>
                                      <w:rFonts w:asciiTheme="majorHAnsi" w:eastAsiaTheme="majorEastAsia" w:hAnsiTheme="majorHAnsi" w:cstheme="majorBidi"/>
                                      <w:noProof/>
                                      <w:sz w:val="32"/>
                                      <w:szCs w:val="48"/>
                                    </w:rPr>
                                    <w:t>1</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eastAsiaTheme="minorEastAsia" w:hAnsiTheme="minorHAnsi" w:cstheme="minorBidi"/>
                                <w:sz w:val="14"/>
                                <w:szCs w:val="22"/>
                              </w:rPr>
                              <w:fldChar w:fldCharType="begin"/>
                            </w:r>
                            <w:r w:rsidRPr="00F62E1E">
                              <w:rPr>
                                <w:sz w:val="14"/>
                              </w:rPr>
                              <w:instrText>PAGE  \* MERGEFORMAT</w:instrText>
                            </w:r>
                            <w:r w:rsidRPr="00F62E1E">
                              <w:rPr>
                                <w:rFonts w:asciiTheme="minorHAnsi" w:eastAsiaTheme="minorEastAsia" w:hAnsiTheme="minorHAnsi" w:cstheme="minorBidi"/>
                                <w:sz w:val="14"/>
                                <w:szCs w:val="22"/>
                              </w:rPr>
                              <w:fldChar w:fldCharType="separate"/>
                            </w:r>
                            <w:r w:rsidR="00923737" w:rsidRPr="00923737">
                              <w:rPr>
                                <w:rFonts w:asciiTheme="majorHAnsi" w:eastAsiaTheme="majorEastAsia" w:hAnsiTheme="majorHAnsi" w:cstheme="majorBidi"/>
                                <w:noProof/>
                                <w:sz w:val="32"/>
                                <w:szCs w:val="48"/>
                              </w:rPr>
                              <w:t>1</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923737">
          <w:rPr>
            <w:rFonts w:ascii="Times New Roman" w:hAnsi="Times New Roman"/>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91431"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37" w:rsidRDefault="00923737">
      <w:r>
        <w:separator/>
      </w:r>
    </w:p>
  </w:footnote>
  <w:footnote w:type="continuationSeparator" w:id="0">
    <w:p w:rsidR="00923737" w:rsidRDefault="00923737">
      <w:r>
        <w:continuationSeparator/>
      </w:r>
    </w:p>
  </w:footnote>
  <w:footnote w:id="1">
    <w:p w:rsidR="00923737" w:rsidRDefault="00923737" w:rsidP="00923737">
      <w:pPr>
        <w:pStyle w:val="Funotentext"/>
      </w:pPr>
      <w:r>
        <w:rPr>
          <w:rStyle w:val="Funotenzeichen"/>
        </w:rPr>
        <w:footnoteRef/>
      </w:r>
      <w:r>
        <w:t xml:space="preserve"> vgl. A 4.2 Reflexionsbogen Mehrsprachigkeit und Identität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rFonts w:ascii="Arial" w:hAnsi="Arial" w:cs="Arial"/>
        <w:b/>
        <w:bCs/>
        <w:noProof/>
        <w:position w:val="-2"/>
        <w:sz w:val="20"/>
        <w:szCs w:val="20"/>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6AF72EB"/>
    <w:multiLevelType w:val="hybridMultilevel"/>
    <w:tmpl w:val="B48606AE"/>
    <w:lvl w:ilvl="0" w:tplc="88C8E32C">
      <w:start w:val="1"/>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37"/>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3737"/>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737"/>
    <w:pPr>
      <w:spacing w:after="0" w:line="240" w:lineRule="auto"/>
    </w:pPr>
    <w:rPr>
      <w:rFonts w:ascii="Calibri" w:eastAsia="MS Mincho" w:hAnsi="Calibri" w:cs="Times New Roman"/>
      <w:sz w:val="24"/>
      <w:szCs w:val="24"/>
      <w:lang w:val="de-DE" w:eastAsia="de-DE"/>
    </w:rPr>
  </w:style>
  <w:style w:type="paragraph" w:styleId="berschrift1">
    <w:name w:val="heading 1"/>
    <w:basedOn w:val="Standard"/>
    <w:next w:val="Standard"/>
    <w:link w:val="berschrift1Zeichen"/>
    <w:autoRedefine/>
    <w:qFormat/>
    <w:rsid w:val="00923737"/>
    <w:pPr>
      <w:keepNext/>
      <w:spacing w:before="360" w:after="60"/>
      <w:jc w:val="both"/>
      <w:outlineLvl w:val="0"/>
    </w:pPr>
    <w:rPr>
      <w:rFonts w:ascii="PT Sans" w:hAnsi="PT Sans"/>
      <w:b/>
      <w:color w:val="4F81BD" w:themeColor="accent1"/>
      <w:kern w:val="32"/>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923737"/>
    <w:rPr>
      <w:rFonts w:ascii="PT Sans" w:eastAsia="MS Mincho" w:hAnsi="PT Sans" w:cs="Times New Roman"/>
      <w:b/>
      <w:color w:val="4F81BD" w:themeColor="accent1"/>
      <w:kern w:val="32"/>
      <w:sz w:val="28"/>
      <w:szCs w:val="28"/>
      <w:lang w:eastAsia="de-DE"/>
    </w:rPr>
  </w:style>
  <w:style w:type="paragraph" w:styleId="Funotentext">
    <w:name w:val="footnote text"/>
    <w:basedOn w:val="Standard"/>
    <w:link w:val="FunotentextZeichen"/>
    <w:semiHidden/>
    <w:rsid w:val="00923737"/>
    <w:rPr>
      <w:sz w:val="16"/>
    </w:rPr>
  </w:style>
  <w:style w:type="character" w:customStyle="1" w:styleId="FunotentextZeichen">
    <w:name w:val="Fußnotentext Zeichen"/>
    <w:basedOn w:val="Absatzstandardschriftart"/>
    <w:link w:val="Funotentext"/>
    <w:semiHidden/>
    <w:rsid w:val="00923737"/>
    <w:rPr>
      <w:rFonts w:ascii="Calibri" w:eastAsia="MS Mincho" w:hAnsi="Calibri" w:cs="Times New Roman"/>
      <w:sz w:val="16"/>
      <w:szCs w:val="24"/>
      <w:lang w:val="de-DE" w:eastAsia="de-DE"/>
    </w:rPr>
  </w:style>
  <w:style w:type="character" w:styleId="Funotenzeichen">
    <w:name w:val="footnote reference"/>
    <w:basedOn w:val="Absatzstandardschriftart"/>
    <w:semiHidden/>
    <w:rsid w:val="00923737"/>
    <w:rPr>
      <w:vertAlign w:val="superscript"/>
    </w:rPr>
  </w:style>
  <w:style w:type="paragraph" w:styleId="Titel">
    <w:name w:val="Title"/>
    <w:basedOn w:val="Standard"/>
    <w:link w:val="TitelZeichen"/>
    <w:autoRedefine/>
    <w:qFormat/>
    <w:rsid w:val="00923737"/>
    <w:pPr>
      <w:spacing w:before="240" w:after="60"/>
      <w:outlineLvl w:val="0"/>
    </w:pPr>
    <w:rPr>
      <w:rFonts w:ascii="PT Serif" w:hAnsi="PT Serif"/>
      <w:color w:val="4F81BD" w:themeColor="accent1"/>
      <w:kern w:val="28"/>
      <w:sz w:val="36"/>
      <w:szCs w:val="36"/>
    </w:rPr>
  </w:style>
  <w:style w:type="character" w:customStyle="1" w:styleId="TitelZeichen">
    <w:name w:val="Titel Zeichen"/>
    <w:basedOn w:val="Absatzstandardschriftart"/>
    <w:link w:val="Titel"/>
    <w:rsid w:val="00923737"/>
    <w:rPr>
      <w:rFonts w:ascii="PT Serif" w:eastAsia="MS Mincho" w:hAnsi="PT Serif" w:cs="Times New Roman"/>
      <w:color w:val="4F81BD" w:themeColor="accent1"/>
      <w:kern w:val="28"/>
      <w:sz w:val="36"/>
      <w:szCs w:val="36"/>
      <w:lang w:val="de-DE" w:eastAsia="de-DE"/>
    </w:rPr>
  </w:style>
  <w:style w:type="paragraph" w:customStyle="1" w:styleId="MittleresRaster1-Akzent21">
    <w:name w:val="Mittleres Raster 1 - Akzent 21"/>
    <w:basedOn w:val="Standard"/>
    <w:uiPriority w:val="34"/>
    <w:qFormat/>
    <w:rsid w:val="00923737"/>
    <w:pPr>
      <w:ind w:left="720"/>
      <w:contextualSpacing/>
    </w:pPr>
  </w:style>
  <w:style w:type="character" w:styleId="Link">
    <w:name w:val="Hyperlink"/>
    <w:uiPriority w:val="99"/>
    <w:unhideWhenUsed/>
    <w:rsid w:val="0092373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737"/>
    <w:pPr>
      <w:spacing w:after="0" w:line="240" w:lineRule="auto"/>
    </w:pPr>
    <w:rPr>
      <w:rFonts w:ascii="Calibri" w:eastAsia="MS Mincho" w:hAnsi="Calibri" w:cs="Times New Roman"/>
      <w:sz w:val="24"/>
      <w:szCs w:val="24"/>
      <w:lang w:val="de-DE" w:eastAsia="de-DE"/>
    </w:rPr>
  </w:style>
  <w:style w:type="paragraph" w:styleId="berschrift1">
    <w:name w:val="heading 1"/>
    <w:basedOn w:val="Standard"/>
    <w:next w:val="Standard"/>
    <w:link w:val="berschrift1Zeichen"/>
    <w:autoRedefine/>
    <w:qFormat/>
    <w:rsid w:val="00923737"/>
    <w:pPr>
      <w:keepNext/>
      <w:spacing w:before="360" w:after="60"/>
      <w:jc w:val="both"/>
      <w:outlineLvl w:val="0"/>
    </w:pPr>
    <w:rPr>
      <w:rFonts w:ascii="PT Sans" w:hAnsi="PT Sans"/>
      <w:b/>
      <w:color w:val="4F81BD" w:themeColor="accent1"/>
      <w:kern w:val="32"/>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923737"/>
    <w:rPr>
      <w:rFonts w:ascii="PT Sans" w:eastAsia="MS Mincho" w:hAnsi="PT Sans" w:cs="Times New Roman"/>
      <w:b/>
      <w:color w:val="4F81BD" w:themeColor="accent1"/>
      <w:kern w:val="32"/>
      <w:sz w:val="28"/>
      <w:szCs w:val="28"/>
      <w:lang w:eastAsia="de-DE"/>
    </w:rPr>
  </w:style>
  <w:style w:type="paragraph" w:styleId="Funotentext">
    <w:name w:val="footnote text"/>
    <w:basedOn w:val="Standard"/>
    <w:link w:val="FunotentextZeichen"/>
    <w:semiHidden/>
    <w:rsid w:val="00923737"/>
    <w:rPr>
      <w:sz w:val="16"/>
    </w:rPr>
  </w:style>
  <w:style w:type="character" w:customStyle="1" w:styleId="FunotentextZeichen">
    <w:name w:val="Fußnotentext Zeichen"/>
    <w:basedOn w:val="Absatzstandardschriftart"/>
    <w:link w:val="Funotentext"/>
    <w:semiHidden/>
    <w:rsid w:val="00923737"/>
    <w:rPr>
      <w:rFonts w:ascii="Calibri" w:eastAsia="MS Mincho" w:hAnsi="Calibri" w:cs="Times New Roman"/>
      <w:sz w:val="16"/>
      <w:szCs w:val="24"/>
      <w:lang w:val="de-DE" w:eastAsia="de-DE"/>
    </w:rPr>
  </w:style>
  <w:style w:type="character" w:styleId="Funotenzeichen">
    <w:name w:val="footnote reference"/>
    <w:basedOn w:val="Absatzstandardschriftart"/>
    <w:semiHidden/>
    <w:rsid w:val="00923737"/>
    <w:rPr>
      <w:vertAlign w:val="superscript"/>
    </w:rPr>
  </w:style>
  <w:style w:type="paragraph" w:styleId="Titel">
    <w:name w:val="Title"/>
    <w:basedOn w:val="Standard"/>
    <w:link w:val="TitelZeichen"/>
    <w:autoRedefine/>
    <w:qFormat/>
    <w:rsid w:val="00923737"/>
    <w:pPr>
      <w:spacing w:before="240" w:after="60"/>
      <w:outlineLvl w:val="0"/>
    </w:pPr>
    <w:rPr>
      <w:rFonts w:ascii="PT Serif" w:hAnsi="PT Serif"/>
      <w:color w:val="4F81BD" w:themeColor="accent1"/>
      <w:kern w:val="28"/>
      <w:sz w:val="36"/>
      <w:szCs w:val="36"/>
    </w:rPr>
  </w:style>
  <w:style w:type="character" w:customStyle="1" w:styleId="TitelZeichen">
    <w:name w:val="Titel Zeichen"/>
    <w:basedOn w:val="Absatzstandardschriftart"/>
    <w:link w:val="Titel"/>
    <w:rsid w:val="00923737"/>
    <w:rPr>
      <w:rFonts w:ascii="PT Serif" w:eastAsia="MS Mincho" w:hAnsi="PT Serif" w:cs="Times New Roman"/>
      <w:color w:val="4F81BD" w:themeColor="accent1"/>
      <w:kern w:val="28"/>
      <w:sz w:val="36"/>
      <w:szCs w:val="36"/>
      <w:lang w:val="de-DE" w:eastAsia="de-DE"/>
    </w:rPr>
  </w:style>
  <w:style w:type="paragraph" w:customStyle="1" w:styleId="MittleresRaster1-Akzent21">
    <w:name w:val="Mittleres Raster 1 - Akzent 21"/>
    <w:basedOn w:val="Standard"/>
    <w:uiPriority w:val="34"/>
    <w:qFormat/>
    <w:rsid w:val="00923737"/>
    <w:pPr>
      <w:ind w:left="720"/>
      <w:contextualSpacing/>
    </w:pPr>
  </w:style>
  <w:style w:type="character" w:styleId="Link">
    <w:name w:val="Hyperlink"/>
    <w:uiPriority w:val="99"/>
    <w:unhideWhenUsed/>
    <w:rsid w:val="00923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kay-line.at/file/656/vortrainkenkeim.pdf"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56DD-5F1C-5D4D-823F-7A126893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793</Words>
  <Characters>5881</Characters>
  <Application>Microsoft Macintosh Word</Application>
  <DocSecurity>0</DocSecurity>
  <Lines>103</Lines>
  <Paragraphs>36</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2019-04-09T15:13:00Z</dcterms:created>
  <dcterms:modified xsi:type="dcterms:W3CDTF">2019-04-09T15:17:00Z</dcterms:modified>
</cp:coreProperties>
</file>