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3178" w14:textId="77777777" w:rsidR="00573375" w:rsidRDefault="00573375" w:rsidP="00304463">
      <w:pPr>
        <w:jc w:val="center"/>
      </w:pPr>
    </w:p>
    <w:p w14:paraId="2F5AA4D5" w14:textId="77777777" w:rsidR="00AF6699" w:rsidRPr="00232BD5" w:rsidRDefault="00AF6699" w:rsidP="00AF6699">
      <w:pPr>
        <w:pStyle w:val="Titel"/>
      </w:pPr>
      <w:r>
        <w:t xml:space="preserve">D 1.2 </w:t>
      </w:r>
      <w:r w:rsidRPr="00232BD5">
        <w:t>Wirkungsweisen von Vorurteilen und Diskriminierung im Bildungszusammenhängen</w:t>
      </w:r>
    </w:p>
    <w:p w14:paraId="437249DC" w14:textId="77777777" w:rsidR="00AF6699" w:rsidRPr="00232BD5" w:rsidRDefault="00AF6699" w:rsidP="00AF6699">
      <w:pPr>
        <w:rPr>
          <w:color w:val="4F81BD" w:themeColor="accent1"/>
          <w:sz w:val="24"/>
        </w:rPr>
      </w:pPr>
      <w:r w:rsidRPr="00232BD5">
        <w:rPr>
          <w:color w:val="4F81BD" w:themeColor="accent1"/>
          <w:sz w:val="24"/>
        </w:rPr>
        <w:t>Verena Plutzar</w:t>
      </w:r>
    </w:p>
    <w:p w14:paraId="12884588" w14:textId="77777777" w:rsidR="00AF6699" w:rsidRPr="00232BD5" w:rsidRDefault="00AF6699" w:rsidP="00AF6699">
      <w:pPr>
        <w:pStyle w:val="berschrift1"/>
      </w:pPr>
      <w:r w:rsidRPr="00232BD5">
        <w:t>Vorurteile machen nachweisbar dumm</w:t>
      </w:r>
    </w:p>
    <w:p w14:paraId="10E02643" w14:textId="77777777" w:rsidR="00AF6699" w:rsidRDefault="00AF6699" w:rsidP="00AF6699">
      <w:r>
        <w:t xml:space="preserve">Wenn Menschen mit abwertenden und ausgrenzenden Botschaften konfrontiert werden, die sie selbst betreffen, hat das direkte Auswirkungen auf ihre Leistungen. </w:t>
      </w:r>
      <w:proofErr w:type="spellStart"/>
      <w:r>
        <w:t>Horaczek</w:t>
      </w:r>
      <w:proofErr w:type="spellEnd"/>
      <w:r>
        <w:t xml:space="preserve"> &amp; Wiese (2015) berichten von einem Experiment, das ein Psychologe in Wien zur Zeit eines Wahlkampfes im Jahr 2006 durchgeführt hat. Jugendlichen wurden Wahlplakate gezeigt, auf denen </w:t>
      </w:r>
      <w:r>
        <w:rPr>
          <w:rFonts w:eastAsia="Times New Roman"/>
          <w:bCs/>
          <w:szCs w:val="22"/>
          <w:lang w:val="de-AT"/>
        </w:rPr>
        <w:t>Slogans wie ,Sozialstaat statt Zuwanderung´, ,</w:t>
      </w:r>
      <w:proofErr w:type="spellStart"/>
      <w:r>
        <w:rPr>
          <w:rFonts w:eastAsia="Times New Roman"/>
          <w:bCs/>
          <w:szCs w:val="22"/>
          <w:lang w:val="de-AT"/>
        </w:rPr>
        <w:t>Daham</w:t>
      </w:r>
      <w:proofErr w:type="spellEnd"/>
      <w:r>
        <w:rPr>
          <w:rFonts w:eastAsia="Times New Roman"/>
          <w:bCs/>
          <w:szCs w:val="22"/>
          <w:lang w:val="de-AT"/>
        </w:rPr>
        <w:t xml:space="preserve"> statt Islam´ und ,Deutsch statt nix verstehen´ zu lesen waren</w:t>
      </w:r>
      <w:r w:rsidRPr="008524C8">
        <w:rPr>
          <w:rFonts w:eastAsia="Times New Roman"/>
          <w:bCs/>
          <w:szCs w:val="22"/>
          <w:lang w:val="de-AT"/>
        </w:rPr>
        <w:t xml:space="preserve">. Vor und nach Betrachten dieser Plakate </w:t>
      </w:r>
      <w:r>
        <w:rPr>
          <w:rFonts w:eastAsia="Times New Roman"/>
          <w:bCs/>
          <w:szCs w:val="22"/>
          <w:lang w:val="de-AT"/>
        </w:rPr>
        <w:t xml:space="preserve">waren </w:t>
      </w:r>
      <w:r w:rsidRPr="008524C8">
        <w:rPr>
          <w:rFonts w:eastAsia="Times New Roman"/>
          <w:bCs/>
          <w:szCs w:val="22"/>
          <w:lang w:val="de-AT"/>
        </w:rPr>
        <w:t xml:space="preserve">die Jugendlichen </w:t>
      </w:r>
      <w:r>
        <w:rPr>
          <w:rFonts w:eastAsia="Times New Roman"/>
          <w:bCs/>
          <w:szCs w:val="22"/>
          <w:lang w:val="de-AT"/>
        </w:rPr>
        <w:t xml:space="preserve">angehalten, </w:t>
      </w:r>
      <w:r w:rsidRPr="008524C8">
        <w:rPr>
          <w:rFonts w:eastAsia="Times New Roman"/>
          <w:bCs/>
          <w:szCs w:val="22"/>
          <w:lang w:val="de-AT"/>
        </w:rPr>
        <w:t xml:space="preserve">schwierige Denkaufgaben </w:t>
      </w:r>
      <w:r>
        <w:rPr>
          <w:rFonts w:eastAsia="Times New Roman"/>
          <w:bCs/>
          <w:szCs w:val="22"/>
          <w:lang w:val="de-AT"/>
        </w:rPr>
        <w:t xml:space="preserve">zu </w:t>
      </w:r>
      <w:r w:rsidRPr="008524C8">
        <w:rPr>
          <w:rFonts w:eastAsia="Times New Roman"/>
          <w:bCs/>
          <w:szCs w:val="22"/>
          <w:lang w:val="de-AT"/>
        </w:rPr>
        <w:t xml:space="preserve">erfüllen. </w:t>
      </w:r>
      <w:r>
        <w:rPr>
          <w:rFonts w:eastAsia="Times New Roman"/>
          <w:bCs/>
          <w:szCs w:val="22"/>
          <w:lang w:val="de-AT"/>
        </w:rPr>
        <w:t xml:space="preserve">Es zeigte sich, dass jene Testpersonen, die Migrationserfahrungen hatten, </w:t>
      </w:r>
      <w:r w:rsidRPr="008524C8">
        <w:rPr>
          <w:rFonts w:eastAsia="Times New Roman"/>
          <w:bCs/>
          <w:szCs w:val="22"/>
          <w:lang w:val="de-AT"/>
        </w:rPr>
        <w:t>nach Betrachten der Plakate schlechter ab</w:t>
      </w:r>
      <w:r>
        <w:rPr>
          <w:rFonts w:eastAsia="Times New Roman"/>
          <w:bCs/>
          <w:szCs w:val="22"/>
          <w:lang w:val="de-AT"/>
        </w:rPr>
        <w:t>schnitten</w:t>
      </w:r>
      <w:r w:rsidRPr="008524C8">
        <w:rPr>
          <w:rFonts w:eastAsia="Times New Roman"/>
          <w:bCs/>
          <w:szCs w:val="22"/>
          <w:lang w:val="de-AT"/>
        </w:rPr>
        <w:t xml:space="preserve"> als davor. </w:t>
      </w:r>
      <w:r>
        <w:rPr>
          <w:rFonts w:eastAsia="Times New Roman"/>
          <w:bCs/>
          <w:szCs w:val="22"/>
          <w:lang w:val="de-AT"/>
        </w:rPr>
        <w:t>Konkret verminderte sich ihre Denkleistung um sechs</w:t>
      </w:r>
      <w:r w:rsidRPr="008524C8">
        <w:rPr>
          <w:rFonts w:eastAsia="Times New Roman"/>
          <w:bCs/>
          <w:szCs w:val="22"/>
          <w:lang w:val="de-AT"/>
        </w:rPr>
        <w:t xml:space="preserve"> Prozent. Wurden sie nicht mit die</w:t>
      </w:r>
      <w:r>
        <w:rPr>
          <w:rFonts w:eastAsia="Times New Roman"/>
          <w:bCs/>
          <w:szCs w:val="22"/>
          <w:lang w:val="de-AT"/>
        </w:rPr>
        <w:t>sen ausländerfeindlichen Sprüchen</w:t>
      </w:r>
      <w:r w:rsidRPr="008524C8">
        <w:rPr>
          <w:rFonts w:eastAsia="Times New Roman"/>
          <w:bCs/>
          <w:szCs w:val="22"/>
          <w:lang w:val="de-AT"/>
        </w:rPr>
        <w:t xml:space="preserve"> konfrontiert, blieb ihre Leistung unverändert. </w:t>
      </w:r>
      <w:r>
        <w:rPr>
          <w:rFonts w:eastAsia="Times New Roman"/>
          <w:bCs/>
          <w:szCs w:val="22"/>
          <w:lang w:val="de-AT"/>
        </w:rPr>
        <w:t>Auf</w:t>
      </w:r>
      <w:r w:rsidRPr="008524C8">
        <w:rPr>
          <w:rFonts w:eastAsia="Times New Roman"/>
          <w:bCs/>
          <w:szCs w:val="22"/>
          <w:lang w:val="de-AT"/>
        </w:rPr>
        <w:t xml:space="preserve"> die Denkleistung von Jugendli</w:t>
      </w:r>
      <w:r>
        <w:rPr>
          <w:rFonts w:eastAsia="Times New Roman"/>
          <w:bCs/>
          <w:szCs w:val="22"/>
          <w:lang w:val="de-AT"/>
        </w:rPr>
        <w:t>chen ohne Migrationserfahrungen</w:t>
      </w:r>
      <w:r w:rsidRPr="008524C8">
        <w:rPr>
          <w:rFonts w:eastAsia="Times New Roman"/>
          <w:bCs/>
          <w:szCs w:val="22"/>
          <w:lang w:val="de-AT"/>
        </w:rPr>
        <w:t xml:space="preserve"> </w:t>
      </w:r>
      <w:r>
        <w:rPr>
          <w:rFonts w:eastAsia="Times New Roman"/>
          <w:bCs/>
          <w:szCs w:val="22"/>
          <w:lang w:val="de-AT"/>
        </w:rPr>
        <w:t>konnten</w:t>
      </w:r>
      <w:r w:rsidRPr="008524C8">
        <w:rPr>
          <w:rFonts w:eastAsia="Times New Roman"/>
          <w:bCs/>
          <w:szCs w:val="22"/>
          <w:lang w:val="de-AT"/>
        </w:rPr>
        <w:t xml:space="preserve"> </w:t>
      </w:r>
      <w:r>
        <w:rPr>
          <w:rFonts w:eastAsia="Times New Roman"/>
          <w:bCs/>
          <w:szCs w:val="22"/>
          <w:lang w:val="de-AT"/>
        </w:rPr>
        <w:t>hingegen kein</w:t>
      </w:r>
      <w:r w:rsidRPr="008524C8">
        <w:rPr>
          <w:rFonts w:eastAsia="Times New Roman"/>
          <w:bCs/>
          <w:szCs w:val="22"/>
          <w:lang w:val="de-AT"/>
        </w:rPr>
        <w:t xml:space="preserve"> Einfluss</w:t>
      </w:r>
      <w:r>
        <w:rPr>
          <w:rFonts w:eastAsia="Times New Roman"/>
          <w:bCs/>
          <w:szCs w:val="22"/>
          <w:lang w:val="de-AT"/>
        </w:rPr>
        <w:t xml:space="preserve"> der Slogans beobachtet werden. </w:t>
      </w:r>
      <w:r w:rsidRPr="008524C8">
        <w:rPr>
          <w:rFonts w:eastAsia="Times New Roman"/>
          <w:bCs/>
          <w:szCs w:val="22"/>
          <w:lang w:val="de-AT"/>
        </w:rPr>
        <w:t>(</w:t>
      </w:r>
      <w:proofErr w:type="spellStart"/>
      <w:r w:rsidRPr="008524C8">
        <w:rPr>
          <w:rFonts w:eastAsia="Times New Roman"/>
          <w:bCs/>
          <w:szCs w:val="22"/>
          <w:lang w:val="de-AT"/>
        </w:rPr>
        <w:t>Horaczek</w:t>
      </w:r>
      <w:proofErr w:type="spellEnd"/>
      <w:r w:rsidRPr="008524C8">
        <w:rPr>
          <w:rFonts w:eastAsia="Times New Roman"/>
          <w:bCs/>
          <w:szCs w:val="22"/>
          <w:lang w:val="de-AT"/>
        </w:rPr>
        <w:t>/Wiese 2015, 159</w:t>
      </w:r>
      <w:bookmarkStart w:id="0" w:name="pagetitel"/>
      <w:bookmarkEnd w:id="0"/>
      <w:r>
        <w:rPr>
          <w:rFonts w:eastAsia="Times New Roman"/>
          <w:bCs/>
          <w:szCs w:val="22"/>
          <w:lang w:val="de-AT"/>
        </w:rPr>
        <w:t>)</w:t>
      </w:r>
    </w:p>
    <w:p w14:paraId="02288022" w14:textId="77777777" w:rsidR="00AF6699" w:rsidRDefault="00AF6699" w:rsidP="00AF6699">
      <w:pPr>
        <w:pStyle w:val="berschrift1"/>
      </w:pPr>
      <w:r>
        <w:t>Vorurteile bestimmen die Erwartungshaltungen von PädagogInnen</w:t>
      </w:r>
    </w:p>
    <w:p w14:paraId="66C836C5" w14:textId="77777777" w:rsidR="00AF6699" w:rsidRPr="00E64033" w:rsidRDefault="00AF6699" w:rsidP="00AF6699">
      <w:pPr>
        <w:jc w:val="both"/>
        <w:rPr>
          <w:rFonts w:eastAsia="Times New Roman"/>
          <w:szCs w:val="22"/>
        </w:rPr>
      </w:pPr>
      <w:r>
        <w:rPr>
          <w:rFonts w:eastAsia="Times New Roman"/>
          <w:szCs w:val="22"/>
        </w:rPr>
        <w:t>Die Frage</w:t>
      </w:r>
      <w:r w:rsidRPr="00E64033">
        <w:rPr>
          <w:rFonts w:eastAsia="Times New Roman"/>
          <w:szCs w:val="22"/>
        </w:rPr>
        <w:t>, welche Bilder Pädagog</w:t>
      </w:r>
      <w:r>
        <w:rPr>
          <w:rFonts w:eastAsia="Times New Roman"/>
          <w:szCs w:val="22"/>
        </w:rPr>
        <w:t>I</w:t>
      </w:r>
      <w:r w:rsidRPr="00E64033">
        <w:rPr>
          <w:rFonts w:eastAsia="Times New Roman"/>
          <w:szCs w:val="22"/>
        </w:rPr>
        <w:t>nnen von den Kindern haben und welche Erwartungen sich daraus ergeben, spielen eine wesentliche Rolle für den Bildungserfolg der Kinder. Eine 2009 an der Universität Oldenburg durchgeführte Studie belegt das anhand der Vornamen von Kindern.</w:t>
      </w:r>
      <w:r>
        <w:rPr>
          <w:rFonts w:eastAsia="Times New Roman"/>
          <w:szCs w:val="22"/>
        </w:rPr>
        <w:t xml:space="preserve"> </w:t>
      </w:r>
      <w:r w:rsidRPr="00E64033">
        <w:rPr>
          <w:rFonts w:eastAsia="Times New Roman"/>
          <w:szCs w:val="22"/>
        </w:rPr>
        <w:t>Bestimmte Vornamen lösen bestimmte Erwartungshaltungen bezüglich Verhaltensauffälligkeit, Leistungsstärke und Persönlichkeit des Kindes aus. Diese tragen dazu bei, ihnen entweder positive oder negative Kompetenzen zuzuschreiben.</w:t>
      </w:r>
      <w:r>
        <w:rPr>
          <w:rFonts w:eastAsia="Times New Roman"/>
          <w:szCs w:val="22"/>
        </w:rPr>
        <w:t xml:space="preserve"> </w:t>
      </w:r>
      <w:r w:rsidRPr="00E64033">
        <w:rPr>
          <w:rFonts w:eastAsia="Times New Roman"/>
          <w:szCs w:val="22"/>
        </w:rPr>
        <w:t>Die Studie hat unter den Titel „Kevin ist kein Name, sondern eine Diagnose“ einige Aufmerksamkeit erregt. In ihr wurde außerdem beobachtet, dass der größte Teil der</w:t>
      </w:r>
      <w:r>
        <w:rPr>
          <w:rFonts w:eastAsia="Times New Roman"/>
          <w:szCs w:val="22"/>
        </w:rPr>
        <w:t xml:space="preserve"> </w:t>
      </w:r>
      <w:r w:rsidRPr="00E64033">
        <w:rPr>
          <w:rFonts w:eastAsia="Times New Roman"/>
          <w:szCs w:val="22"/>
        </w:rPr>
        <w:t>Lehrpersonen keine kritische Distanz zu ihren Vorannahmen ha</w:t>
      </w:r>
      <w:r>
        <w:rPr>
          <w:rFonts w:eastAsia="Times New Roman"/>
          <w:szCs w:val="22"/>
        </w:rPr>
        <w:t>t</w:t>
      </w:r>
      <w:r w:rsidRPr="00E64033">
        <w:rPr>
          <w:rFonts w:eastAsia="Times New Roman"/>
          <w:szCs w:val="22"/>
        </w:rPr>
        <w:t xml:space="preserve"> und dass Grundsätze der vorurteilsbewussten Erziehung und Bildung an Schulen vermittelt </w:t>
      </w:r>
      <w:r>
        <w:rPr>
          <w:rFonts w:eastAsia="Times New Roman"/>
          <w:szCs w:val="22"/>
        </w:rPr>
        <w:t>werden sollten</w:t>
      </w:r>
      <w:r w:rsidRPr="00E64033">
        <w:rPr>
          <w:rFonts w:eastAsia="Times New Roman"/>
          <w:szCs w:val="22"/>
        </w:rPr>
        <w:t>. Katharina Brizić untersucht</w:t>
      </w:r>
      <w:r>
        <w:rPr>
          <w:rFonts w:eastAsia="Times New Roman"/>
          <w:szCs w:val="22"/>
        </w:rPr>
        <w:t>e</w:t>
      </w:r>
      <w:r w:rsidRPr="00E64033">
        <w:rPr>
          <w:rFonts w:eastAsia="Times New Roman"/>
          <w:szCs w:val="22"/>
        </w:rPr>
        <w:t xml:space="preserve"> ganz ähnliche Effekte an österreichischen Schulen, nur dass nicht der Vorname, sondern </w:t>
      </w:r>
      <w:r>
        <w:rPr>
          <w:rFonts w:eastAsia="Times New Roman"/>
          <w:szCs w:val="22"/>
        </w:rPr>
        <w:t>der Umgang mit Sprachen in der Familie</w:t>
      </w:r>
      <w:r w:rsidRPr="00E64033">
        <w:rPr>
          <w:rFonts w:eastAsia="Times New Roman"/>
          <w:szCs w:val="22"/>
        </w:rPr>
        <w:t xml:space="preserve"> </w:t>
      </w:r>
      <w:r>
        <w:rPr>
          <w:rFonts w:eastAsia="Times New Roman"/>
          <w:szCs w:val="22"/>
        </w:rPr>
        <w:t xml:space="preserve">die </w:t>
      </w:r>
      <w:r w:rsidRPr="00E64033">
        <w:rPr>
          <w:rFonts w:eastAsia="Times New Roman"/>
          <w:szCs w:val="22"/>
        </w:rPr>
        <w:t>Basis der Vorannahmen darstellt</w:t>
      </w:r>
      <w:r>
        <w:rPr>
          <w:rFonts w:eastAsia="Times New Roman"/>
          <w:szCs w:val="22"/>
        </w:rPr>
        <w:t xml:space="preserve"> (vgl. </w:t>
      </w:r>
      <w:r w:rsidRPr="00E64033">
        <w:rPr>
          <w:rFonts w:eastAsia="Times New Roman"/>
          <w:szCs w:val="22"/>
        </w:rPr>
        <w:t>Brizić</w:t>
      </w:r>
      <w:r>
        <w:rPr>
          <w:rFonts w:eastAsia="Times New Roman"/>
          <w:szCs w:val="22"/>
        </w:rPr>
        <w:t>/</w:t>
      </w:r>
      <w:proofErr w:type="spellStart"/>
      <w:r>
        <w:rPr>
          <w:rFonts w:eastAsia="Times New Roman"/>
          <w:szCs w:val="22"/>
        </w:rPr>
        <w:t>Hufnagl</w:t>
      </w:r>
      <w:proofErr w:type="spellEnd"/>
      <w:r>
        <w:rPr>
          <w:rFonts w:eastAsia="Times New Roman"/>
          <w:szCs w:val="22"/>
        </w:rPr>
        <w:t xml:space="preserve"> 2016).</w:t>
      </w:r>
    </w:p>
    <w:p w14:paraId="29EA1A08" w14:textId="77777777" w:rsidR="00AF6699" w:rsidRPr="00E64033" w:rsidRDefault="00AF6699" w:rsidP="00AF6699">
      <w:pPr>
        <w:jc w:val="both"/>
        <w:rPr>
          <w:rFonts w:eastAsia="Times New Roman"/>
          <w:szCs w:val="22"/>
        </w:rPr>
      </w:pPr>
    </w:p>
    <w:p w14:paraId="14F5760E" w14:textId="77777777" w:rsidR="00AF6699" w:rsidRDefault="00AF6699" w:rsidP="00AF6699">
      <w:pPr>
        <w:jc w:val="both"/>
        <w:rPr>
          <w:rFonts w:eastAsia="Times New Roman"/>
          <w:szCs w:val="22"/>
        </w:rPr>
      </w:pPr>
      <w:r w:rsidRPr="00E64033">
        <w:rPr>
          <w:rFonts w:eastAsia="Times New Roman"/>
          <w:szCs w:val="22"/>
        </w:rPr>
        <w:t xml:space="preserve">Die Auswirkungen von </w:t>
      </w:r>
      <w:proofErr w:type="spellStart"/>
      <w:r w:rsidRPr="00E64033">
        <w:rPr>
          <w:rFonts w:eastAsia="Times New Roman"/>
          <w:szCs w:val="22"/>
        </w:rPr>
        <w:t>Lehrer</w:t>
      </w:r>
      <w:r>
        <w:rPr>
          <w:rFonts w:eastAsia="Times New Roman"/>
          <w:szCs w:val="22"/>
        </w:rPr>
        <w:t>I</w:t>
      </w:r>
      <w:r w:rsidRPr="00E64033">
        <w:rPr>
          <w:rFonts w:eastAsia="Times New Roman"/>
          <w:szCs w:val="22"/>
        </w:rPr>
        <w:t>nnenerwartungen</w:t>
      </w:r>
      <w:proofErr w:type="spellEnd"/>
      <w:r w:rsidRPr="00E64033">
        <w:rPr>
          <w:rFonts w:eastAsia="Times New Roman"/>
          <w:szCs w:val="22"/>
        </w:rPr>
        <w:t xml:space="preserve"> auf schulische Leistungen der Kinder in Form von </w:t>
      </w:r>
      <w:proofErr w:type="spellStart"/>
      <w:r w:rsidRPr="00E64033">
        <w:rPr>
          <w:rFonts w:eastAsia="Times New Roman"/>
          <w:szCs w:val="22"/>
        </w:rPr>
        <w:t>self-fulfilling-prophecies</w:t>
      </w:r>
      <w:proofErr w:type="spellEnd"/>
      <w:r w:rsidRPr="00E64033">
        <w:rPr>
          <w:rFonts w:eastAsia="Times New Roman"/>
          <w:szCs w:val="22"/>
        </w:rPr>
        <w:t xml:space="preserve"> wurde</w:t>
      </w:r>
      <w:r>
        <w:rPr>
          <w:rFonts w:eastAsia="Times New Roman"/>
          <w:szCs w:val="22"/>
        </w:rPr>
        <w:t>n</w:t>
      </w:r>
      <w:r w:rsidRPr="00E64033">
        <w:rPr>
          <w:rFonts w:eastAsia="Times New Roman"/>
          <w:szCs w:val="22"/>
        </w:rPr>
        <w:t xml:space="preserve"> bereits in vers</w:t>
      </w:r>
      <w:r>
        <w:rPr>
          <w:rFonts w:eastAsia="Times New Roman"/>
          <w:szCs w:val="22"/>
        </w:rPr>
        <w:t>chiedenen Studien nachgewiesen. D</w:t>
      </w:r>
      <w:r w:rsidRPr="00E64033">
        <w:rPr>
          <w:rFonts w:eastAsia="Times New Roman"/>
          <w:szCs w:val="22"/>
        </w:rPr>
        <w:t>ennoch wird diese</w:t>
      </w:r>
      <w:r>
        <w:rPr>
          <w:rFonts w:eastAsia="Times New Roman"/>
          <w:szCs w:val="22"/>
        </w:rPr>
        <w:t>s</w:t>
      </w:r>
      <w:r w:rsidRPr="00E64033">
        <w:rPr>
          <w:rFonts w:eastAsia="Times New Roman"/>
          <w:szCs w:val="22"/>
        </w:rPr>
        <w:t xml:space="preserve"> Phänomen bei Erklärungsansätzen für schlechtere schulische Leistung von Kindern aus </w:t>
      </w:r>
      <w:r>
        <w:rPr>
          <w:rFonts w:eastAsia="Times New Roman"/>
          <w:szCs w:val="22"/>
        </w:rPr>
        <w:t>Familien mit Migrationsgeschichte</w:t>
      </w:r>
      <w:r w:rsidRPr="00E64033">
        <w:rPr>
          <w:rFonts w:eastAsia="Times New Roman"/>
          <w:szCs w:val="22"/>
        </w:rPr>
        <w:t xml:space="preserve"> nicht oder kaum herangezogen. Dementspreche</w:t>
      </w:r>
      <w:r>
        <w:rPr>
          <w:rFonts w:eastAsia="Times New Roman"/>
          <w:szCs w:val="22"/>
        </w:rPr>
        <w:t xml:space="preserve">nd wenig Aufmerksamkeit wurde bisher </w:t>
      </w:r>
      <w:r w:rsidRPr="00E64033">
        <w:rPr>
          <w:rFonts w:eastAsia="Times New Roman"/>
          <w:szCs w:val="22"/>
        </w:rPr>
        <w:t xml:space="preserve">der Förderung von vorurteils- und diskriminierungsbewusster Erziehung geschenkt. </w:t>
      </w:r>
    </w:p>
    <w:p w14:paraId="27BEC610" w14:textId="77777777" w:rsidR="00AF6699" w:rsidRDefault="00AF6699" w:rsidP="00AF6699">
      <w:pPr>
        <w:jc w:val="both"/>
        <w:rPr>
          <w:rFonts w:eastAsia="Times New Roman"/>
          <w:szCs w:val="22"/>
        </w:rPr>
      </w:pPr>
    </w:p>
    <w:p w14:paraId="5CC11885" w14:textId="77777777" w:rsidR="00AF6699" w:rsidRDefault="00AF6699" w:rsidP="00AF6699">
      <w:pPr>
        <w:jc w:val="both"/>
        <w:rPr>
          <w:rFonts w:eastAsia="Times New Roman"/>
          <w:szCs w:val="22"/>
        </w:rPr>
      </w:pPr>
      <w:r w:rsidRPr="00E64033">
        <w:rPr>
          <w:rFonts w:eastAsia="Times New Roman"/>
          <w:szCs w:val="22"/>
        </w:rPr>
        <w:t xml:space="preserve">Aktuell wird im Rahmen der Migrationspädagogik vor unreflektierten Zuschreibungen vor allem in Bezug auf </w:t>
      </w:r>
      <w:proofErr w:type="spellStart"/>
      <w:r w:rsidRPr="00E64033">
        <w:rPr>
          <w:rFonts w:eastAsia="Times New Roman"/>
          <w:szCs w:val="22"/>
        </w:rPr>
        <w:t>natio</w:t>
      </w:r>
      <w:proofErr w:type="spellEnd"/>
      <w:r w:rsidRPr="00E64033">
        <w:rPr>
          <w:rFonts w:eastAsia="Times New Roman"/>
          <w:szCs w:val="22"/>
        </w:rPr>
        <w:t>-ethnisch-kulturelle Zugehörigkeiten und einer mit Migration verbundenen Mehrsprachigkeit gewarnt, da sie Ungleichheit und Benachteiligung nicht nur produzieren, sondern auch legitimieren (</w:t>
      </w:r>
      <w:proofErr w:type="spellStart"/>
      <w:r w:rsidRPr="00E64033">
        <w:rPr>
          <w:rFonts w:eastAsia="Times New Roman"/>
          <w:szCs w:val="22"/>
        </w:rPr>
        <w:t>Mecheril</w:t>
      </w:r>
      <w:proofErr w:type="spellEnd"/>
      <w:r w:rsidRPr="00E64033">
        <w:rPr>
          <w:rFonts w:eastAsia="Times New Roman"/>
          <w:szCs w:val="22"/>
        </w:rPr>
        <w:t xml:space="preserve"> e</w:t>
      </w:r>
      <w:r>
        <w:rPr>
          <w:rFonts w:eastAsia="Times New Roman"/>
          <w:szCs w:val="22"/>
        </w:rPr>
        <w:t xml:space="preserve">t </w:t>
      </w:r>
      <w:r w:rsidRPr="00E64033">
        <w:rPr>
          <w:rFonts w:eastAsia="Times New Roman"/>
          <w:szCs w:val="22"/>
        </w:rPr>
        <w:t>a</w:t>
      </w:r>
      <w:r>
        <w:rPr>
          <w:rFonts w:eastAsia="Times New Roman"/>
          <w:szCs w:val="22"/>
        </w:rPr>
        <w:t>l.</w:t>
      </w:r>
      <w:r w:rsidRPr="00E64033">
        <w:rPr>
          <w:rFonts w:eastAsia="Times New Roman"/>
          <w:szCs w:val="22"/>
        </w:rPr>
        <w:t xml:space="preserve"> 2010). Gutgemeinte, ,liebevolle´ und scheinbar ressourcenorientierte Grundeinstellungen können sich bei genauerer Analyse als </w:t>
      </w:r>
      <w:r>
        <w:rPr>
          <w:rFonts w:eastAsia="Times New Roman"/>
          <w:szCs w:val="22"/>
        </w:rPr>
        <w:t xml:space="preserve">nur </w:t>
      </w:r>
      <w:r w:rsidRPr="00E64033">
        <w:rPr>
          <w:rFonts w:eastAsia="Times New Roman"/>
          <w:szCs w:val="22"/>
        </w:rPr>
        <w:t xml:space="preserve">bedingt </w:t>
      </w:r>
      <w:r w:rsidRPr="00E64033">
        <w:rPr>
          <w:rFonts w:eastAsia="Times New Roman"/>
          <w:szCs w:val="22"/>
        </w:rPr>
        <w:lastRenderedPageBreak/>
        <w:t>förderlich</w:t>
      </w:r>
      <w:r>
        <w:rPr>
          <w:rFonts w:eastAsia="Times New Roman"/>
          <w:szCs w:val="22"/>
        </w:rPr>
        <w:t xml:space="preserve"> erweisen</w:t>
      </w:r>
      <w:r w:rsidRPr="00E64033">
        <w:rPr>
          <w:rFonts w:eastAsia="Times New Roman"/>
          <w:szCs w:val="22"/>
        </w:rPr>
        <w:t xml:space="preserve">, wenn nicht sogar </w:t>
      </w:r>
      <w:r>
        <w:rPr>
          <w:rFonts w:eastAsia="Times New Roman"/>
          <w:szCs w:val="22"/>
        </w:rPr>
        <w:t xml:space="preserve">als </w:t>
      </w:r>
      <w:r w:rsidRPr="00E64033">
        <w:rPr>
          <w:rFonts w:eastAsia="Times New Roman"/>
          <w:szCs w:val="22"/>
        </w:rPr>
        <w:t xml:space="preserve">defizitorientiert herausstellen, wenn sie mit geringen Leistungserwartungen an Kinder verbunden sind oder (unbewusst) abwertende </w:t>
      </w:r>
      <w:proofErr w:type="spellStart"/>
      <w:r w:rsidRPr="00E64033">
        <w:rPr>
          <w:rFonts w:eastAsia="Times New Roman"/>
          <w:szCs w:val="22"/>
        </w:rPr>
        <w:t>kulturalisierende</w:t>
      </w:r>
      <w:proofErr w:type="spellEnd"/>
      <w:r w:rsidRPr="00E64033">
        <w:rPr>
          <w:rFonts w:eastAsia="Times New Roman"/>
          <w:szCs w:val="22"/>
        </w:rPr>
        <w:t xml:space="preserve"> Stereotype bemühen, wie z.B. die Bezeichnung von Buben als „Pascha</w:t>
      </w:r>
      <w:r>
        <w:rPr>
          <w:rFonts w:eastAsia="Times New Roman"/>
          <w:szCs w:val="22"/>
        </w:rPr>
        <w:t>s</w:t>
      </w:r>
      <w:r w:rsidRPr="00E64033">
        <w:rPr>
          <w:rFonts w:eastAsia="Times New Roman"/>
          <w:szCs w:val="22"/>
        </w:rPr>
        <w:t xml:space="preserve">“ oder die Erwartung, dass Mädchen, die aus islamischen Familien kommen, von den Eltern </w:t>
      </w:r>
      <w:r>
        <w:rPr>
          <w:rFonts w:eastAsia="Times New Roman"/>
          <w:szCs w:val="22"/>
        </w:rPr>
        <w:t xml:space="preserve">nicht </w:t>
      </w:r>
      <w:r w:rsidRPr="00E64033">
        <w:rPr>
          <w:rFonts w:eastAsia="Times New Roman"/>
          <w:szCs w:val="22"/>
        </w:rPr>
        <w:t>in ihrer Bildungslaufbahn unterstützt werden (vgl. Friedel-</w:t>
      </w:r>
      <w:proofErr w:type="spellStart"/>
      <w:r w:rsidRPr="00E64033">
        <w:rPr>
          <w:rFonts w:eastAsia="Times New Roman"/>
          <w:szCs w:val="22"/>
        </w:rPr>
        <w:t>Boesch</w:t>
      </w:r>
      <w:proofErr w:type="spellEnd"/>
      <w:r w:rsidRPr="00E64033">
        <w:rPr>
          <w:rFonts w:eastAsia="Times New Roman"/>
          <w:szCs w:val="22"/>
        </w:rPr>
        <w:t xml:space="preserve"> 2013). </w:t>
      </w:r>
    </w:p>
    <w:p w14:paraId="76D695CF" w14:textId="77777777" w:rsidR="00AF6699" w:rsidRPr="00B004CC" w:rsidRDefault="00AF6699" w:rsidP="00AF6699">
      <w:pPr>
        <w:pStyle w:val="berschrift1"/>
      </w:pPr>
      <w:bookmarkStart w:id="1" w:name="_Toc325027237"/>
      <w:bookmarkStart w:id="2" w:name="_Toc328763239"/>
      <w:bookmarkStart w:id="3" w:name="_Toc328763350"/>
      <w:bookmarkStart w:id="4" w:name="_Toc367113570"/>
      <w:bookmarkStart w:id="5" w:name="_Toc367126928"/>
      <w:r>
        <w:t>Institutionelle</w:t>
      </w:r>
      <w:r w:rsidRPr="00B004CC">
        <w:t xml:space="preserve"> Diskriminierung</w:t>
      </w:r>
      <w:bookmarkEnd w:id="1"/>
      <w:bookmarkEnd w:id="2"/>
      <w:bookmarkEnd w:id="3"/>
      <w:bookmarkEnd w:id="4"/>
      <w:bookmarkEnd w:id="5"/>
      <w:r w:rsidRPr="00B004CC">
        <w:t xml:space="preserve"> </w:t>
      </w:r>
      <w:r>
        <w:t>in Bildungseinrichtungen</w:t>
      </w:r>
    </w:p>
    <w:p w14:paraId="213E0AD5" w14:textId="77777777" w:rsidR="00AF6699" w:rsidRPr="00BC1E37" w:rsidRDefault="00AF6699" w:rsidP="00AF6699">
      <w:pPr>
        <w:jc w:val="both"/>
      </w:pPr>
      <w:r w:rsidRPr="00BC1E37">
        <w:t>Eine bereits Anfang 2000 durchgeführte Studie an Bielefelder Schulen, die bis heute ihr</w:t>
      </w:r>
      <w:r>
        <w:t>e</w:t>
      </w:r>
      <w:r w:rsidRPr="00BC1E37">
        <w:t xml:space="preserve"> Gültigkeit hat, zeigt auf, dass der mangelnde Schulerfolg von </w:t>
      </w:r>
      <w:proofErr w:type="spellStart"/>
      <w:r w:rsidRPr="00BC1E37">
        <w:t>Migrant</w:t>
      </w:r>
      <w:r>
        <w:t>Inn</w:t>
      </w:r>
      <w:r w:rsidRPr="00BC1E37">
        <w:t>enkindern</w:t>
      </w:r>
      <w:proofErr w:type="spellEnd"/>
      <w:r w:rsidRPr="00BC1E37">
        <w:t xml:space="preserve"> mit institutioneller Diskriminierung </w:t>
      </w:r>
      <w:r>
        <w:t xml:space="preserve">zusammenhängt. Die </w:t>
      </w:r>
      <w:proofErr w:type="spellStart"/>
      <w:r>
        <w:t>StudienautorI</w:t>
      </w:r>
      <w:r w:rsidRPr="00BC1E37">
        <w:t>nnen</w:t>
      </w:r>
      <w:proofErr w:type="spellEnd"/>
      <w:r w:rsidRPr="00BC1E37">
        <w:t xml:space="preserve"> können nachweisen, dass institutionelle Entscheidungsmechanismen für die Schullaufbahn von Kindern, die sprachlich-kulturelle Vielfalt und Migrationsgeschichte mitbringen, </w:t>
      </w:r>
      <w:r>
        <w:t xml:space="preserve">mehrfach nachteilig </w:t>
      </w:r>
      <w:r w:rsidRPr="00BC1E37">
        <w:t xml:space="preserve">wirken, und zwar beim Aufnahmeverfahren in die Grundschule (Schulreifefeststellung), bei der Bestimmung eines sonderpädagogischen Förderbedarfs und bei der Weiterempfehlung bzw. Aufnahme in die Sekundarstufe </w:t>
      </w:r>
      <w:r>
        <w:t xml:space="preserve">I </w:t>
      </w:r>
      <w:r w:rsidRPr="00BC1E37">
        <w:t>(Gymnasium</w:t>
      </w:r>
      <w:r>
        <w:t>/</w:t>
      </w:r>
      <w:proofErr w:type="spellStart"/>
      <w:r>
        <w:t>AHS</w:t>
      </w:r>
      <w:proofErr w:type="spellEnd"/>
      <w:r w:rsidRPr="00BC1E37">
        <w:t xml:space="preserve"> ja oder nein). </w:t>
      </w:r>
    </w:p>
    <w:p w14:paraId="64323EC1" w14:textId="77777777" w:rsidR="00AF6699" w:rsidRPr="00BC1E37" w:rsidRDefault="00AF6699" w:rsidP="00AF6699">
      <w:pPr>
        <w:jc w:val="both"/>
      </w:pPr>
    </w:p>
    <w:p w14:paraId="769E66D9" w14:textId="77777777" w:rsidR="00AF6699" w:rsidRPr="00E3335C" w:rsidRDefault="00AF6699" w:rsidP="00AF6699">
      <w:pPr>
        <w:jc w:val="both"/>
      </w:pPr>
      <w:r w:rsidRPr="00BC1E37">
        <w:t xml:space="preserve">Diskriminierung von Kinder aus Familien mit Migrationsgeschichte findet statt, weil sie </w:t>
      </w:r>
      <w:r>
        <w:t>die</w:t>
      </w:r>
      <w:r w:rsidRPr="00BC1E37">
        <w:t xml:space="preserve"> Normalitätserwartungen bzw. </w:t>
      </w:r>
      <w:r>
        <w:t>die</w:t>
      </w:r>
      <w:r w:rsidRPr="00BC1E37">
        <w:t xml:space="preserve"> „Mitgliedschaftsbedingungen“ der Bildungsinstitution nicht erfüllen können, sowohl in sprachlicher Hinsicht als auch in Hinblick auf ihre familiäre Sozialisation. Die Diskriminierung dieser Kinder entspringt gleichzeitig auch ihrer Sonderbehandlung, die im allgemeinen Diskurs innerhalb und außerhalb der Schule und dem Kindergarten als plausibel und damit als legitim gesehen wird.</w:t>
      </w:r>
    </w:p>
    <w:p w14:paraId="35DC92E3" w14:textId="77777777" w:rsidR="00AF6699" w:rsidRPr="00232BD5" w:rsidRDefault="00AF6699" w:rsidP="00AF6699">
      <w:pPr>
        <w:ind w:left="708"/>
        <w:jc w:val="both"/>
        <w:rPr>
          <w:i/>
          <w:szCs w:val="22"/>
        </w:rPr>
      </w:pPr>
      <w:r w:rsidRPr="00232BD5">
        <w:rPr>
          <w:i/>
          <w:szCs w:val="22"/>
        </w:rPr>
        <w:t>Die Diskriminierung von Migrantenkindern besteht (a) darin, dass es weniger wahrscheinlich ist, dass diese Kinder/Schüler die für alle geltenden Mitgliedschaftsbedingungen der Grundschule (und der weiterführenden Schulen) erfüllen können. Sie wird (b) dadurch möglich, weil die meisten in und außerhalb der Organisation Sonderbehandlung von Migranten für plausibel halten und sogar darauf drängen. Diskriminierung resultiert als Effekt also sowohl aus Formen der Gleichbehandlung von Migrantenkindern unter vermeintlich neutralen Leistungs- und Beurteilungskriterien als auch aus Formen der Ungleichbehandlung jeweils im Vergleich mit ihren Mitschülern.. (</w:t>
      </w:r>
      <w:proofErr w:type="spellStart"/>
      <w:r w:rsidRPr="00232BD5">
        <w:rPr>
          <w:i/>
          <w:szCs w:val="22"/>
        </w:rPr>
        <w:t>Gomolla</w:t>
      </w:r>
      <w:proofErr w:type="spellEnd"/>
      <w:r w:rsidRPr="00232BD5">
        <w:rPr>
          <w:i/>
          <w:szCs w:val="22"/>
        </w:rPr>
        <w:t xml:space="preserve">/Radtke 2007, </w:t>
      </w:r>
      <w:proofErr w:type="spellStart"/>
      <w:r w:rsidRPr="00232BD5">
        <w:rPr>
          <w:i/>
          <w:szCs w:val="22"/>
        </w:rPr>
        <w:t>274f</w:t>
      </w:r>
      <w:proofErr w:type="spellEnd"/>
      <w:r w:rsidRPr="00232BD5">
        <w:rPr>
          <w:i/>
          <w:szCs w:val="22"/>
        </w:rPr>
        <w:t>)</w:t>
      </w:r>
    </w:p>
    <w:p w14:paraId="69FBD246" w14:textId="77777777" w:rsidR="00AF6699" w:rsidRPr="00BC1E37" w:rsidRDefault="00AF6699" w:rsidP="00AF6699">
      <w:pPr>
        <w:jc w:val="both"/>
      </w:pPr>
    </w:p>
    <w:p w14:paraId="7CBEB007" w14:textId="77777777" w:rsidR="00AF6699" w:rsidRPr="00BC1E37" w:rsidRDefault="00AF6699" w:rsidP="00AF6699">
      <w:pPr>
        <w:jc w:val="both"/>
        <w:rPr>
          <w:szCs w:val="20"/>
        </w:rPr>
      </w:pPr>
      <w:r w:rsidRPr="00BC1E37">
        <w:rPr>
          <w:szCs w:val="20"/>
        </w:rPr>
        <w:t>Die Schule geht von Bedingungen aus, die nicht nur von Kindern mit Migrationsgeschichte nicht selbstverständlich erfüllt werden: „</w:t>
      </w:r>
      <w:r>
        <w:rPr>
          <w:szCs w:val="20"/>
        </w:rPr>
        <w:t xml:space="preserve">[...] </w:t>
      </w:r>
      <w:r w:rsidRPr="00BC1E37">
        <w:rPr>
          <w:szCs w:val="20"/>
        </w:rPr>
        <w:t>neben guten Leistungen braucht es auch soziale Integration, Elternmitarbeit, ein anregungsreiches Milieu und vor allem keine zusätzlichen Defizite und Bedürfnisse, die Schwierigkeiten bereiten könnten</w:t>
      </w:r>
      <w:r>
        <w:rPr>
          <w:szCs w:val="20"/>
        </w:rPr>
        <w:t>.</w:t>
      </w:r>
      <w:r w:rsidRPr="00BC1E37">
        <w:rPr>
          <w:szCs w:val="20"/>
        </w:rPr>
        <w:t>“</w:t>
      </w:r>
      <w:r>
        <w:rPr>
          <w:szCs w:val="20"/>
        </w:rPr>
        <w:t xml:space="preserve"> (ebda) </w:t>
      </w:r>
      <w:r w:rsidRPr="00BC1E37">
        <w:rPr>
          <w:szCs w:val="20"/>
        </w:rPr>
        <w:t xml:space="preserve">Unter diesen Bedingungen ist einem Kind eine erfolgreiche Bildungslaufbahn mit dem Abschluss einer höheren Schule zwar nicht garantiert, doch mit hoher Wahrscheinlichkeit sicher. </w:t>
      </w:r>
    </w:p>
    <w:p w14:paraId="3A73EC43" w14:textId="77777777" w:rsidR="00AF6699" w:rsidRPr="00BC1E37" w:rsidRDefault="00AF6699" w:rsidP="00AF6699">
      <w:pPr>
        <w:jc w:val="both"/>
      </w:pPr>
    </w:p>
    <w:p w14:paraId="0C3B9997" w14:textId="77777777" w:rsidR="00AF6699" w:rsidRPr="00BC1E37" w:rsidRDefault="00AF6699" w:rsidP="00AF6699">
      <w:pPr>
        <w:jc w:val="both"/>
      </w:pPr>
      <w:r w:rsidRPr="00BC1E37">
        <w:t>Mechanismen institutioneller Diskriminierung zeigen sich</w:t>
      </w:r>
      <w:r>
        <w:t xml:space="preserve"> </w:t>
      </w:r>
      <w:r w:rsidRPr="00F0707A">
        <w:t xml:space="preserve">nach </w:t>
      </w:r>
      <w:proofErr w:type="spellStart"/>
      <w:r w:rsidRPr="00F0707A">
        <w:t>Gomolla</w:t>
      </w:r>
      <w:proofErr w:type="spellEnd"/>
      <w:r w:rsidRPr="00F0707A">
        <w:t>/Radtke (2007)</w:t>
      </w:r>
      <w:r w:rsidRPr="00BC1E37">
        <w:t xml:space="preserve">, </w:t>
      </w:r>
    </w:p>
    <w:p w14:paraId="657FE1C3" w14:textId="77777777" w:rsidR="00AF6699" w:rsidRPr="00232BD5" w:rsidRDefault="00AF6699" w:rsidP="00AF6699">
      <w:pPr>
        <w:pStyle w:val="Listenabsatz"/>
        <w:numPr>
          <w:ilvl w:val="0"/>
          <w:numId w:val="3"/>
        </w:numPr>
        <w:jc w:val="both"/>
        <w:rPr>
          <w:i/>
        </w:rPr>
      </w:pPr>
      <w:r w:rsidRPr="00232BD5">
        <w:rPr>
          <w:i/>
        </w:rPr>
        <w:t xml:space="preserve">„wenn regelmäßig von der Organisation Schule vorgenommene (Selektions-) Entscheidungen, die in ihrer eigenen Logik und Pragmatik getroffen werden, ungleiche Wirkungen auf die Schüler haben, und </w:t>
      </w:r>
    </w:p>
    <w:p w14:paraId="7604E09C" w14:textId="77777777" w:rsidR="00AF6699" w:rsidRPr="00232BD5" w:rsidRDefault="00AF6699" w:rsidP="00AF6699">
      <w:pPr>
        <w:pStyle w:val="Listenabsatz"/>
        <w:numPr>
          <w:ilvl w:val="0"/>
          <w:numId w:val="3"/>
        </w:numPr>
        <w:jc w:val="both"/>
        <w:rPr>
          <w:i/>
        </w:rPr>
      </w:pPr>
      <w:r w:rsidRPr="00232BD5">
        <w:rPr>
          <w:i/>
        </w:rPr>
        <w:t>wenn diese in der Organisation selbst hergestellten Unterschiede durch Merkmale/Eigenschaften, die der benachteiligten Gruppe zugeschrieben werden, mit Sinn ausgestattet werden, und</w:t>
      </w:r>
    </w:p>
    <w:p w14:paraId="3429BAA8" w14:textId="77777777" w:rsidR="00AF6699" w:rsidRPr="00232BD5" w:rsidRDefault="00AF6699" w:rsidP="00AF6699">
      <w:pPr>
        <w:pStyle w:val="Listenabsatz"/>
        <w:numPr>
          <w:ilvl w:val="0"/>
          <w:numId w:val="3"/>
        </w:numPr>
        <w:jc w:val="both"/>
        <w:rPr>
          <w:i/>
        </w:rPr>
      </w:pPr>
      <w:r w:rsidRPr="00232BD5">
        <w:rPr>
          <w:i/>
        </w:rPr>
        <w:t>wenn es sich dabei um das Kollektivmerkmal der ,nationalen Herkunft´/,Kultur´ handelt.“ (ebda)</w:t>
      </w:r>
    </w:p>
    <w:p w14:paraId="3FEA8DC8" w14:textId="77777777" w:rsidR="00AF6699" w:rsidRPr="00BC1E37" w:rsidRDefault="00AF6699" w:rsidP="00AF6699">
      <w:pPr>
        <w:jc w:val="both"/>
      </w:pPr>
    </w:p>
    <w:p w14:paraId="244E07D3" w14:textId="77777777" w:rsidR="00AF6699" w:rsidRPr="00BC1E37" w:rsidRDefault="00AF6699" w:rsidP="00AF6699">
      <w:pPr>
        <w:jc w:val="both"/>
      </w:pPr>
    </w:p>
    <w:p w14:paraId="608EFF25" w14:textId="77777777" w:rsidR="00AF6699" w:rsidRPr="00BC1E37" w:rsidRDefault="00AF6699" w:rsidP="00AF6699">
      <w:pPr>
        <w:jc w:val="both"/>
      </w:pPr>
      <w:r w:rsidRPr="00BC1E37">
        <w:t xml:space="preserve">Im Gegensatz dazu wirken sich Anerkennung und Wertschätzung positiv auf die Lernleistungen </w:t>
      </w:r>
      <w:r w:rsidRPr="00BC1E37">
        <w:lastRenderedPageBreak/>
        <w:t xml:space="preserve">von SchülerInnen aus. </w:t>
      </w:r>
    </w:p>
    <w:p w14:paraId="68DF11F2" w14:textId="77777777" w:rsidR="00AF6699" w:rsidRPr="00232BD5" w:rsidRDefault="00AF6699" w:rsidP="00AF6699">
      <w:pPr>
        <w:ind w:left="708"/>
        <w:jc w:val="both"/>
        <w:rPr>
          <w:i/>
          <w:szCs w:val="22"/>
        </w:rPr>
      </w:pPr>
      <w:r w:rsidRPr="00232BD5">
        <w:rPr>
          <w:i/>
          <w:szCs w:val="22"/>
        </w:rPr>
        <w:t>Löser (2009) berichtet von kanadischen Schulen, an denen SchülerInnen mit Migrationsgeschichte ähnlich gute Schulleistungen wie solche ohne Migrationsgeschichte aufweisen. Diese Schulen sind charakterisiert durch eine im Vergleich zu anderen Staaten stark hervorstechende sprachlich-kulturelle Vielfalt und eine explizit wertschätzende und fördernde Haltung bei LehrerInnen, die breite Unterstützung in Politik und Gesellschaft findet und mit dem Motto „</w:t>
      </w:r>
      <w:proofErr w:type="spellStart"/>
      <w:r w:rsidRPr="00232BD5">
        <w:rPr>
          <w:i/>
          <w:szCs w:val="22"/>
        </w:rPr>
        <w:t>Celebrate</w:t>
      </w:r>
      <w:proofErr w:type="spellEnd"/>
      <w:r w:rsidRPr="00232BD5">
        <w:rPr>
          <w:i/>
          <w:szCs w:val="22"/>
        </w:rPr>
        <w:t xml:space="preserve"> </w:t>
      </w:r>
      <w:proofErr w:type="spellStart"/>
      <w:r w:rsidRPr="00232BD5">
        <w:rPr>
          <w:i/>
          <w:szCs w:val="22"/>
        </w:rPr>
        <w:t>Diversity</w:t>
      </w:r>
      <w:proofErr w:type="spellEnd"/>
      <w:r w:rsidRPr="00232BD5">
        <w:rPr>
          <w:i/>
          <w:szCs w:val="22"/>
        </w:rPr>
        <w:t>“ ausgedrückt wird. (</w:t>
      </w:r>
      <w:proofErr w:type="spellStart"/>
      <w:r w:rsidRPr="00232BD5">
        <w:rPr>
          <w:i/>
          <w:szCs w:val="22"/>
        </w:rPr>
        <w:t>Melter</w:t>
      </w:r>
      <w:proofErr w:type="spellEnd"/>
      <w:r w:rsidRPr="00232BD5">
        <w:rPr>
          <w:i/>
          <w:szCs w:val="22"/>
        </w:rPr>
        <w:t>/</w:t>
      </w:r>
      <w:proofErr w:type="spellStart"/>
      <w:r w:rsidRPr="00232BD5">
        <w:rPr>
          <w:i/>
          <w:szCs w:val="22"/>
        </w:rPr>
        <w:t>İDirim</w:t>
      </w:r>
      <w:proofErr w:type="spellEnd"/>
      <w:r w:rsidRPr="00232BD5">
        <w:rPr>
          <w:i/>
          <w:szCs w:val="22"/>
        </w:rPr>
        <w:t xml:space="preserve">/ </w:t>
      </w:r>
      <w:proofErr w:type="spellStart"/>
      <w:r w:rsidRPr="00232BD5">
        <w:rPr>
          <w:i/>
          <w:szCs w:val="22"/>
        </w:rPr>
        <w:t>Mecheril</w:t>
      </w:r>
      <w:proofErr w:type="spellEnd"/>
      <w:r w:rsidRPr="00232BD5">
        <w:rPr>
          <w:i/>
          <w:szCs w:val="22"/>
        </w:rPr>
        <w:t xml:space="preserve"> (2012)</w:t>
      </w:r>
    </w:p>
    <w:p w14:paraId="50C05325" w14:textId="77777777" w:rsidR="00AF6699" w:rsidRPr="00681980" w:rsidRDefault="00AF6699" w:rsidP="00AF6699">
      <w:pPr>
        <w:ind w:left="708"/>
        <w:jc w:val="both"/>
        <w:rPr>
          <w:sz w:val="20"/>
        </w:rPr>
      </w:pPr>
    </w:p>
    <w:p w14:paraId="7D42914C" w14:textId="77777777" w:rsidR="00AF6699" w:rsidRPr="00AF6699" w:rsidRDefault="00AF6699" w:rsidP="00AF6699">
      <w:pPr>
        <w:jc w:val="both"/>
        <w:rPr>
          <w:rStyle w:val="berschrift2Zeichen"/>
          <w:rFonts w:ascii="PT Sans" w:hAnsi="PT Sans"/>
          <w:color w:val="auto"/>
          <w:sz w:val="22"/>
          <w:szCs w:val="24"/>
        </w:rPr>
      </w:pPr>
      <w:r w:rsidRPr="00BC1E37">
        <w:t>Demnach muss jegli</w:t>
      </w:r>
      <w:r>
        <w:t>ches pädagogische Handeln in einer</w:t>
      </w:r>
      <w:r w:rsidRPr="00BC1E37">
        <w:t xml:space="preserve"> Migrationsgesellschaft</w:t>
      </w:r>
      <w:r>
        <w:t>, wie sie Österreich de facto ist,</w:t>
      </w:r>
      <w:r w:rsidRPr="00BC1E37">
        <w:t xml:space="preserve"> die eigenen institutionellen und organisatorischen Rahmenbedingungen (kritisch) thematisieren und reflektieren, indem die Institution und deren Strukt</w:t>
      </w:r>
      <w:r>
        <w:t xml:space="preserve">uren einer </w:t>
      </w:r>
      <w:r w:rsidRPr="00BC1E37">
        <w:t xml:space="preserve">Analyse unterzogen werden. Es gilt zu hinterfragen, auf welchen bewussten wie unbewussten Normalitätserwartungen die Organisation ihre Ordnung </w:t>
      </w:r>
      <w:r>
        <w:t>auf</w:t>
      </w:r>
      <w:r w:rsidRPr="00BC1E37">
        <w:t>baut. Die daraus resultierenden Entscheidungsmechanismen sind dahingehend zu reflektieren, welche Auswirkungen sie auf diejenigen ha</w:t>
      </w:r>
      <w:r>
        <w:t>ben</w:t>
      </w:r>
      <w:r w:rsidRPr="00BC1E37">
        <w:t xml:space="preserve">, die den Erwartungshaltungen nicht entsprechen. </w:t>
      </w:r>
      <w:bookmarkStart w:id="6" w:name="_Toc367100288"/>
    </w:p>
    <w:p w14:paraId="7DCD0F29" w14:textId="77777777" w:rsidR="00AF6699" w:rsidRDefault="00AF6699" w:rsidP="00AF6699">
      <w:pPr>
        <w:pStyle w:val="berschrift1"/>
      </w:pPr>
      <w:bookmarkStart w:id="7" w:name="_Toc367106886"/>
      <w:bookmarkStart w:id="8" w:name="_Toc367113576"/>
      <w:bookmarkStart w:id="9" w:name="_Toc367126934"/>
      <w:bookmarkEnd w:id="6"/>
      <w:r>
        <w:t>Literatur</w:t>
      </w:r>
      <w:bookmarkEnd w:id="7"/>
      <w:bookmarkEnd w:id="8"/>
      <w:bookmarkEnd w:id="9"/>
    </w:p>
    <w:p w14:paraId="3ECB9028" w14:textId="77777777" w:rsidR="00AF6699" w:rsidRDefault="00AF6699" w:rsidP="00AF6699">
      <w:pPr>
        <w:ind w:left="284" w:hanging="284"/>
        <w:jc w:val="both"/>
      </w:pPr>
      <w:r>
        <w:t xml:space="preserve">Brizić, Katharina/Claudia Lo </w:t>
      </w:r>
      <w:proofErr w:type="spellStart"/>
      <w:r>
        <w:t>Hufnagl</w:t>
      </w:r>
      <w:proofErr w:type="spellEnd"/>
      <w:r>
        <w:t xml:space="preserve"> (2018), Profile der </w:t>
      </w:r>
      <w:proofErr w:type="spellStart"/>
      <w:r>
        <w:t>Vielsprachigkeit</w:t>
      </w:r>
      <w:proofErr w:type="spellEnd"/>
      <w:r>
        <w:t xml:space="preserve"> und ihr Bildungserfolg, in: </w:t>
      </w:r>
      <w:r w:rsidRPr="00B310EB">
        <w:rPr>
          <w:i/>
        </w:rPr>
        <w:t>Der Deutschunterricht 6/2016</w:t>
      </w:r>
      <w:r>
        <w:t>, 21-32.</w:t>
      </w:r>
    </w:p>
    <w:p w14:paraId="2266168A" w14:textId="77777777" w:rsidR="00AF6699" w:rsidRPr="00B310EB" w:rsidRDefault="00AF6699" w:rsidP="00AF6699">
      <w:pPr>
        <w:ind w:left="284" w:hanging="284"/>
        <w:jc w:val="both"/>
      </w:pPr>
      <w:r w:rsidRPr="00B310EB">
        <w:t>Friedl-</w:t>
      </w:r>
      <w:proofErr w:type="spellStart"/>
      <w:r w:rsidRPr="00B310EB">
        <w:t>Boesch</w:t>
      </w:r>
      <w:proofErr w:type="spellEnd"/>
      <w:r w:rsidRPr="00B310EB">
        <w:t>, Domenica (2013),</w:t>
      </w:r>
      <w:r w:rsidRPr="00B310EB">
        <w:rPr>
          <w:i/>
        </w:rPr>
        <w:t xml:space="preserve"> Der pädagogische Blick auf die „Anderen“. Von faktischen und hergestellten Unterschieden,</w:t>
      </w:r>
      <w:r w:rsidRPr="00B310EB">
        <w:t xml:space="preserve"> Masterarbeit an der Universität Wien.</w:t>
      </w:r>
    </w:p>
    <w:p w14:paraId="417B74F7" w14:textId="77777777" w:rsidR="00AF6699" w:rsidRDefault="00AF6699" w:rsidP="00AF6699">
      <w:pPr>
        <w:ind w:left="284" w:hanging="284"/>
        <w:jc w:val="both"/>
      </w:pPr>
      <w:proofErr w:type="spellStart"/>
      <w:r w:rsidRPr="007C0D47">
        <w:t>Gomolla</w:t>
      </w:r>
      <w:proofErr w:type="spellEnd"/>
      <w:r w:rsidRPr="007C0D47">
        <w:t>, Mechtild/</w:t>
      </w:r>
      <w:proofErr w:type="spellStart"/>
      <w:r w:rsidRPr="007C0D47">
        <w:t>Fank</w:t>
      </w:r>
      <w:proofErr w:type="spellEnd"/>
      <w:r w:rsidRPr="007C0D47">
        <w:t>-Olaf Radtke (2007),</w:t>
      </w:r>
      <w:r w:rsidRPr="007C0D47">
        <w:rPr>
          <w:i/>
        </w:rPr>
        <w:t xml:space="preserve"> Institutionelle Diskriminierung. Die Herstellung ethnischer Differenz in der Schule, </w:t>
      </w:r>
      <w:r w:rsidRPr="007C0D47">
        <w:t xml:space="preserve">Wiesbaden: Verlag für </w:t>
      </w:r>
      <w:proofErr w:type="spellStart"/>
      <w:r w:rsidRPr="007C0D47">
        <w:t>Sozialwiss</w:t>
      </w:r>
      <w:proofErr w:type="spellEnd"/>
      <w:r w:rsidRPr="007C0D47">
        <w:t>.</w:t>
      </w:r>
    </w:p>
    <w:p w14:paraId="3842F07D" w14:textId="77777777" w:rsidR="00AF6699" w:rsidRDefault="00AF6699" w:rsidP="00AF6699">
      <w:pPr>
        <w:ind w:left="284" w:hanging="284"/>
      </w:pPr>
      <w:proofErr w:type="spellStart"/>
      <w:r>
        <w:t>Horaczek</w:t>
      </w:r>
      <w:proofErr w:type="spellEnd"/>
      <w:r>
        <w:t xml:space="preserve">, Nina/Sebastian Wiese (2015), </w:t>
      </w:r>
      <w:r w:rsidRPr="000D0B9E">
        <w:rPr>
          <w:i/>
        </w:rPr>
        <w:t>Gegen Vorurteile. Wie du dich mit guten Argumenten gegen dumme Behauptungen wehrst</w:t>
      </w:r>
      <w:r>
        <w:t>, Wien: Czernin.</w:t>
      </w:r>
    </w:p>
    <w:p w14:paraId="7B10AD32" w14:textId="77777777" w:rsidR="00AF6699" w:rsidRDefault="00AF6699" w:rsidP="00AF6699">
      <w:pPr>
        <w:ind w:left="284" w:hanging="284"/>
        <w:jc w:val="both"/>
      </w:pPr>
      <w:proofErr w:type="spellStart"/>
      <w:r w:rsidRPr="007C0D47">
        <w:t>Melter</w:t>
      </w:r>
      <w:proofErr w:type="spellEnd"/>
      <w:r w:rsidRPr="007C0D47">
        <w:t xml:space="preserve">, Claus/İnci Dirim/Paul </w:t>
      </w:r>
      <w:proofErr w:type="spellStart"/>
      <w:r w:rsidRPr="007C0D47">
        <w:t>Mecheril</w:t>
      </w:r>
      <w:proofErr w:type="spellEnd"/>
      <w:r w:rsidRPr="007C0D47">
        <w:t xml:space="preserve"> (2012), Schullaufbahnen und Bildungsabschlüsse – Thematisierungen migrations-gesellschaftlicher Heterogenität im österreichischen Bildungssyste</w:t>
      </w:r>
      <w:r>
        <w:t>m</w:t>
      </w:r>
      <w:r w:rsidRPr="007C0D47">
        <w:t>, in:</w:t>
      </w:r>
      <w:r>
        <w:t xml:space="preserve"> </w:t>
      </w:r>
      <w:r w:rsidRPr="007C0D47">
        <w:t xml:space="preserve">Gudrun </w:t>
      </w:r>
      <w:proofErr w:type="spellStart"/>
      <w:r w:rsidRPr="007C0D47">
        <w:t>Biffl</w:t>
      </w:r>
      <w:proofErr w:type="spellEnd"/>
      <w:r w:rsidRPr="007C0D47">
        <w:t xml:space="preserve">/Nikolaus </w:t>
      </w:r>
      <w:proofErr w:type="spellStart"/>
      <w:r w:rsidRPr="007C0D47">
        <w:t>Dimmell</w:t>
      </w:r>
      <w:proofErr w:type="spellEnd"/>
      <w:r w:rsidRPr="007C0D47">
        <w:t xml:space="preserve"> (Hrsg.), </w:t>
      </w:r>
      <w:r w:rsidRPr="007C0D47">
        <w:rPr>
          <w:i/>
        </w:rPr>
        <w:t>Migrationsmanagement</w:t>
      </w:r>
      <w:r w:rsidRPr="007C0D47">
        <w:t xml:space="preserve">, Update, </w:t>
      </w:r>
      <w:proofErr w:type="spellStart"/>
      <w:r w:rsidRPr="007C0D47">
        <w:t>341a</w:t>
      </w:r>
      <w:proofErr w:type="spellEnd"/>
      <w:r w:rsidRPr="007C0D47">
        <w:t>-h</w:t>
      </w:r>
      <w:r>
        <w:t>.</w:t>
      </w:r>
    </w:p>
    <w:p w14:paraId="49D1436F" w14:textId="77777777" w:rsidR="00AF6699" w:rsidRDefault="00AF6699" w:rsidP="00AF6699">
      <w:pPr>
        <w:ind w:left="284" w:hanging="284"/>
      </w:pPr>
      <w:proofErr w:type="spellStart"/>
      <w:r>
        <w:t>Mecheril</w:t>
      </w:r>
      <w:proofErr w:type="spellEnd"/>
      <w:r>
        <w:t xml:space="preserve">, Paul/María do Mar Castro Varela/İnci Dirim/Annita </w:t>
      </w:r>
      <w:proofErr w:type="spellStart"/>
      <w:r>
        <w:t>Kalpaka</w:t>
      </w:r>
      <w:proofErr w:type="spellEnd"/>
      <w:r>
        <w:t xml:space="preserve">/Claus </w:t>
      </w:r>
      <w:proofErr w:type="spellStart"/>
      <w:r>
        <w:t>Melter</w:t>
      </w:r>
      <w:proofErr w:type="spellEnd"/>
      <w:r>
        <w:t xml:space="preserve"> (2010), </w:t>
      </w:r>
      <w:r w:rsidRPr="000D0B9E">
        <w:rPr>
          <w:i/>
        </w:rPr>
        <w:t>Migrationspädagogik,</w:t>
      </w:r>
      <w:r>
        <w:t xml:space="preserve"> Weinheim und Basel: Beltz Verlag.</w:t>
      </w:r>
    </w:p>
    <w:p w14:paraId="7C14E54B" w14:textId="77777777" w:rsidR="00AF6699" w:rsidRDefault="00AF6699" w:rsidP="00AF6699">
      <w:pPr>
        <w:jc w:val="both"/>
      </w:pPr>
    </w:p>
    <w:p w14:paraId="48AD64A2" w14:textId="77777777" w:rsidR="00AF6699" w:rsidRDefault="00AF6699" w:rsidP="00AF6699">
      <w:pPr>
        <w:jc w:val="both"/>
      </w:pPr>
    </w:p>
    <w:p w14:paraId="3EFA7464" w14:textId="77777777" w:rsidR="00AF6699" w:rsidRDefault="00AF6699" w:rsidP="00AF6699">
      <w:pPr>
        <w:jc w:val="both"/>
      </w:pPr>
    </w:p>
    <w:p w14:paraId="294FFC7E" w14:textId="77777777" w:rsidR="00AF6699" w:rsidRDefault="00AF6699" w:rsidP="00AF6699"/>
    <w:p w14:paraId="7C963148" w14:textId="77777777" w:rsidR="00AF6699" w:rsidRDefault="00AF6699" w:rsidP="00304463">
      <w:pPr>
        <w:jc w:val="center"/>
      </w:pPr>
    </w:p>
    <w:p w14:paraId="28ED8A3F" w14:textId="77777777" w:rsidR="00573375" w:rsidRDefault="00573375" w:rsidP="00573375">
      <w:pPr>
        <w:jc w:val="center"/>
      </w:pPr>
      <w:bookmarkStart w:id="10" w:name="_GoBack"/>
      <w:bookmarkEnd w:id="10"/>
    </w:p>
    <w:p w14:paraId="3BDD6CBA" w14:textId="77777777" w:rsidR="00573375" w:rsidRDefault="00573375" w:rsidP="00573375">
      <w:pPr>
        <w:jc w:val="center"/>
      </w:pPr>
    </w:p>
    <w:p w14:paraId="38A0ED3E" w14:textId="77777777" w:rsidR="00573375" w:rsidRDefault="00573375" w:rsidP="00573375">
      <w:pPr>
        <w:jc w:val="center"/>
      </w:pPr>
    </w:p>
    <w:p w14:paraId="10BA3CEB" w14:textId="77777777" w:rsidR="00573375" w:rsidRDefault="00573375" w:rsidP="00573375">
      <w:pPr>
        <w:jc w:val="center"/>
      </w:pPr>
    </w:p>
    <w:p w14:paraId="53BFAB3B" w14:textId="77777777" w:rsidR="00573375" w:rsidRDefault="00573375" w:rsidP="00573375">
      <w:pPr>
        <w:jc w:val="center"/>
      </w:pPr>
    </w:p>
    <w:p w14:paraId="7B18E88C" w14:textId="77777777" w:rsidR="00573375" w:rsidRDefault="00573375" w:rsidP="00573375">
      <w:pPr>
        <w:jc w:val="center"/>
      </w:pPr>
    </w:p>
    <w:p w14:paraId="059E3534" w14:textId="77777777" w:rsidR="00573375" w:rsidRDefault="00573375" w:rsidP="00573375">
      <w:pPr>
        <w:jc w:val="center"/>
      </w:pPr>
    </w:p>
    <w:p w14:paraId="216BC690" w14:textId="77777777" w:rsidR="00573375" w:rsidRDefault="00573375" w:rsidP="00573375">
      <w:pPr>
        <w:jc w:val="center"/>
      </w:pPr>
    </w:p>
    <w:p w14:paraId="3EAD3E68" w14:textId="77777777" w:rsidR="00573375" w:rsidRDefault="00573375" w:rsidP="00573375">
      <w:pPr>
        <w:jc w:val="center"/>
      </w:pPr>
    </w:p>
    <w:p w14:paraId="173FE92F" w14:textId="77777777"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BABC" w14:textId="77777777" w:rsidR="00AF6699" w:rsidRDefault="00AF6699">
      <w:r>
        <w:separator/>
      </w:r>
    </w:p>
  </w:endnote>
  <w:endnote w:type="continuationSeparator" w:id="0">
    <w:p w14:paraId="19514337" w14:textId="77777777" w:rsidR="00AF6699" w:rsidRDefault="00AF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PT Serif">
    <w:panose1 w:val="020A0603040505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5C8F39B6" w14:textId="77777777"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1A2EB079" wp14:editId="0C34E402">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6D249EF9" w14:textId="77777777"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9820FB" w:rsidRPr="009820FB">
                                    <w:rPr>
                                      <w:rFonts w:asciiTheme="majorHAnsi" w:eastAsiaTheme="majorEastAsia" w:hAnsiTheme="majorHAnsi" w:cstheme="majorBidi"/>
                                      <w:noProof/>
                                      <w:sz w:val="32"/>
                                      <w:szCs w:val="48"/>
                                    </w:rPr>
                                    <w:t>3</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AF6699" w:rsidRPr="00AF6699">
                              <w:rPr>
                                <w:rFonts w:asciiTheme="majorHAnsi" w:eastAsiaTheme="majorEastAsia" w:hAnsiTheme="majorHAnsi" w:cstheme="majorBidi"/>
                                <w:noProof/>
                                <w:sz w:val="32"/>
                                <w:szCs w:val="48"/>
                              </w:rPr>
                              <w:t>2</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641BD03B" wp14:editId="1A10476B">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D90A17E" wp14:editId="309065DF">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9820FB">
          <w:rPr>
            <w:rFonts w:ascii="Times New Roman" w:eastAsia="MS Mincho" w:hAnsi="Times New Roman"/>
            <w:sz w:val="24"/>
          </w:rPr>
          <w:pict w14:anchorId="2EA0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21021" r:id="rId4"/>
          </w:pict>
        </w:r>
      </w:p>
    </w:sdtContent>
  </w:sdt>
  <w:p w14:paraId="7DA5E417" w14:textId="77777777" w:rsidR="00612C2F" w:rsidRPr="005A50DC" w:rsidRDefault="00612C2F" w:rsidP="00612C2F">
    <w:pPr>
      <w:pStyle w:val="Fuzeile"/>
    </w:pPr>
  </w:p>
  <w:p w14:paraId="602C328D"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7BE8" w14:textId="77777777" w:rsidR="00AF6699" w:rsidRDefault="00AF6699">
      <w:r>
        <w:separator/>
      </w:r>
    </w:p>
  </w:footnote>
  <w:footnote w:type="continuationSeparator" w:id="0">
    <w:p w14:paraId="04E23E0D" w14:textId="77777777" w:rsidR="00AF6699" w:rsidRDefault="00AF6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BE1464" w14:textId="77777777"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396FAE41" wp14:editId="0C7CD300">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2BB7633E" wp14:editId="35671CDD">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4FCB0DDF" wp14:editId="3BDFF7B5">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14:paraId="30213F08"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68B312E"/>
    <w:multiLevelType w:val="hybridMultilevel"/>
    <w:tmpl w:val="DC764F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99"/>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20FB"/>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AF6699"/>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F9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699"/>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AF6699"/>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AF6699"/>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F6699"/>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AF6699"/>
    <w:rPr>
      <w:rFonts w:ascii="PT Serif" w:eastAsiaTheme="minorEastAsia" w:hAnsi="PT Serif" w:cs="Times New Roman"/>
      <w:color w:val="948A54" w:themeColor="background2" w:themeShade="80"/>
      <w:sz w:val="32"/>
      <w:szCs w:val="32"/>
      <w:lang w:val="de-DE" w:eastAsia="de-DE"/>
    </w:rPr>
  </w:style>
  <w:style w:type="paragraph" w:styleId="Titel">
    <w:name w:val="Title"/>
    <w:basedOn w:val="Standard"/>
    <w:link w:val="TitelZeichen"/>
    <w:autoRedefine/>
    <w:qFormat/>
    <w:rsid w:val="00AF6699"/>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F6699"/>
    <w:rPr>
      <w:rFonts w:ascii="PT Serif" w:eastAsia="MS Mincho" w:hAnsi="PT Serif" w:cs="Times New Roman"/>
      <w:color w:val="4F81BD" w:themeColor="accent1"/>
      <w:kern w:val="28"/>
      <w:sz w:val="36"/>
      <w:szCs w:val="36"/>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699"/>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AF6699"/>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AF6699"/>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F6699"/>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AF6699"/>
    <w:rPr>
      <w:rFonts w:ascii="PT Serif" w:eastAsiaTheme="minorEastAsia" w:hAnsi="PT Serif" w:cs="Times New Roman"/>
      <w:color w:val="948A54" w:themeColor="background2" w:themeShade="80"/>
      <w:sz w:val="32"/>
      <w:szCs w:val="32"/>
      <w:lang w:val="de-DE" w:eastAsia="de-DE"/>
    </w:rPr>
  </w:style>
  <w:style w:type="paragraph" w:styleId="Titel">
    <w:name w:val="Title"/>
    <w:basedOn w:val="Standard"/>
    <w:link w:val="TitelZeichen"/>
    <w:autoRedefine/>
    <w:qFormat/>
    <w:rsid w:val="00AF6699"/>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F6699"/>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8B2D-D40C-3541-B1DC-5730A9F4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3</Pages>
  <Words>1111</Words>
  <Characters>7812</Characters>
  <Application>Microsoft Macintosh Word</Application>
  <DocSecurity>0</DocSecurity>
  <Lines>132</Lines>
  <Paragraphs>49</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2019-04-09T21:56:00Z</dcterms:created>
  <dcterms:modified xsi:type="dcterms:W3CDTF">2019-04-09T23:26:00Z</dcterms:modified>
</cp:coreProperties>
</file>