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FE5" w:rsidRDefault="00684FE5" w:rsidP="00216CF0">
      <w:pPr>
        <w:jc w:val="center"/>
      </w:pPr>
      <w:bookmarkStart w:id="0" w:name="_GoBack"/>
      <w:bookmarkEnd w:id="0"/>
    </w:p>
    <w:tbl>
      <w:tblPr>
        <w:tblW w:w="0" w:type="auto"/>
        <w:jc w:val="center"/>
        <w:tblLayout w:type="fixed"/>
        <w:tblCellMar>
          <w:left w:w="0" w:type="dxa"/>
          <w:right w:w="0" w:type="dxa"/>
        </w:tblCellMar>
        <w:tblLook w:val="04A0" w:firstRow="1" w:lastRow="0" w:firstColumn="1" w:lastColumn="0" w:noHBand="0" w:noVBand="1"/>
      </w:tblPr>
      <w:tblGrid>
        <w:gridCol w:w="8222"/>
      </w:tblGrid>
      <w:tr w:rsidR="0018361A" w:rsidTr="009609A9">
        <w:trPr>
          <w:trHeight w:val="3975"/>
          <w:jc w:val="center"/>
        </w:trPr>
        <w:tc>
          <w:tcPr>
            <w:tcW w:w="8222" w:type="dxa"/>
            <w:vAlign w:val="bottom"/>
          </w:tcPr>
          <w:p w:rsidR="0018361A" w:rsidRPr="00CF24BC" w:rsidRDefault="001A41CB" w:rsidP="00216CF0">
            <w:pPr>
              <w:pStyle w:val="Date"/>
              <w:rPr>
                <w:rFonts w:ascii="Verdana" w:hAnsi="Verdana"/>
                <w:sz w:val="22"/>
              </w:rPr>
            </w:pPr>
            <w:r>
              <w:rPr>
                <w:rFonts w:ascii="Verdana" w:hAnsi="Verdana"/>
                <w:sz w:val="22"/>
              </w:rPr>
              <w:t>December</w:t>
            </w:r>
            <w:r w:rsidR="00472665" w:rsidRPr="00CF24BC">
              <w:rPr>
                <w:rFonts w:ascii="Verdana" w:hAnsi="Verdana"/>
                <w:sz w:val="22"/>
              </w:rPr>
              <w:t xml:space="preserve"> 201</w:t>
            </w:r>
            <w:r w:rsidR="000C6EA3">
              <w:rPr>
                <w:rFonts w:ascii="Verdana" w:hAnsi="Verdana"/>
                <w:sz w:val="22"/>
              </w:rPr>
              <w:t>6</w:t>
            </w:r>
          </w:p>
        </w:tc>
      </w:tr>
      <w:tr w:rsidR="0018361A" w:rsidTr="009609A9">
        <w:trPr>
          <w:trHeight w:val="2703"/>
          <w:jc w:val="center"/>
        </w:trPr>
        <w:tc>
          <w:tcPr>
            <w:tcW w:w="8222" w:type="dxa"/>
            <w:vAlign w:val="bottom"/>
          </w:tcPr>
          <w:p w:rsidR="0018361A" w:rsidRPr="00CF24BC" w:rsidRDefault="00472665" w:rsidP="00216CF0">
            <w:pPr>
              <w:pStyle w:val="Titre"/>
              <w:rPr>
                <w:rFonts w:ascii="Verdana" w:eastAsia="Times New Roman" w:hAnsi="Verdana"/>
                <w:sz w:val="22"/>
                <w:szCs w:val="22"/>
              </w:rPr>
            </w:pPr>
            <w:r w:rsidRPr="00CF24BC">
              <w:rPr>
                <w:rFonts w:ascii="Verdana" w:eastAsia="Times New Roman" w:hAnsi="Verdana"/>
                <w:sz w:val="22"/>
                <w:szCs w:val="22"/>
              </w:rPr>
              <w:t>creating a good local economy</w:t>
            </w:r>
            <w:r w:rsidR="00473FA2">
              <w:rPr>
                <w:rFonts w:ascii="Verdana" w:eastAsia="Times New Roman" w:hAnsi="Verdana"/>
                <w:sz w:val="22"/>
                <w:szCs w:val="22"/>
              </w:rPr>
              <w:t xml:space="preserve"> through procurement</w:t>
            </w:r>
          </w:p>
        </w:tc>
      </w:tr>
      <w:tr w:rsidR="0018361A" w:rsidTr="00041858">
        <w:trPr>
          <w:jc w:val="center"/>
        </w:trPr>
        <w:tc>
          <w:tcPr>
            <w:tcW w:w="8222" w:type="dxa"/>
            <w:vAlign w:val="bottom"/>
          </w:tcPr>
          <w:p w:rsidR="00041858" w:rsidRPr="00CF24BC" w:rsidRDefault="00671A92" w:rsidP="00671A92">
            <w:pPr>
              <w:pStyle w:val="CoverText"/>
              <w:rPr>
                <w:rFonts w:ascii="Verdana" w:hAnsi="Verdana"/>
                <w:sz w:val="22"/>
              </w:rPr>
            </w:pPr>
            <w:r>
              <w:rPr>
                <w:rFonts w:ascii="Verdana" w:hAnsi="Verdana"/>
                <w:sz w:val="22"/>
              </w:rPr>
              <w:t xml:space="preserve">Case Study </w:t>
            </w:r>
            <w:r w:rsidR="001A41CB">
              <w:rPr>
                <w:rFonts w:ascii="Verdana" w:hAnsi="Verdana"/>
                <w:sz w:val="22"/>
              </w:rPr>
              <w:t>3</w:t>
            </w:r>
            <w:r w:rsidR="00967E4A">
              <w:rPr>
                <w:rFonts w:ascii="Verdana" w:hAnsi="Verdana"/>
                <w:sz w:val="22"/>
              </w:rPr>
              <w:t xml:space="preserve"> </w:t>
            </w:r>
            <w:r w:rsidR="001A41CB">
              <w:rPr>
                <w:rFonts w:ascii="Verdana" w:hAnsi="Verdana"/>
                <w:sz w:val="22"/>
              </w:rPr>
              <w:t>–</w:t>
            </w:r>
            <w:r w:rsidR="00967E4A">
              <w:rPr>
                <w:rFonts w:ascii="Verdana" w:hAnsi="Verdana"/>
                <w:sz w:val="22"/>
              </w:rPr>
              <w:t xml:space="preserve"> </w:t>
            </w:r>
            <w:r w:rsidR="001A41CB">
              <w:rPr>
                <w:rFonts w:ascii="Verdana" w:hAnsi="Verdana"/>
                <w:sz w:val="22"/>
              </w:rPr>
              <w:t>Lublin, Candelaria, and Almelo</w:t>
            </w:r>
            <w:r w:rsidR="00674265" w:rsidRPr="00CF24BC">
              <w:rPr>
                <w:rFonts w:ascii="Verdana" w:hAnsi="Verdana"/>
                <w:sz w:val="22"/>
              </w:rPr>
              <w:t xml:space="preserve"> prepared by</w:t>
            </w:r>
          </w:p>
        </w:tc>
      </w:tr>
      <w:tr w:rsidR="0018361A" w:rsidTr="00041858">
        <w:trPr>
          <w:jc w:val="center"/>
        </w:trPr>
        <w:tc>
          <w:tcPr>
            <w:tcW w:w="8222" w:type="dxa"/>
            <w:vAlign w:val="bottom"/>
          </w:tcPr>
          <w:p w:rsidR="0018361A" w:rsidRPr="00CF24BC" w:rsidRDefault="00472665" w:rsidP="002F6196">
            <w:pPr>
              <w:pStyle w:val="Date"/>
              <w:rPr>
                <w:rFonts w:ascii="Verdana" w:hAnsi="Verdana"/>
                <w:sz w:val="22"/>
              </w:rPr>
            </w:pPr>
            <w:r w:rsidRPr="00CF24BC">
              <w:rPr>
                <w:rFonts w:ascii="Verdana" w:hAnsi="Verdana"/>
                <w:sz w:val="22"/>
              </w:rPr>
              <w:t>Matthew Jackson</w:t>
            </w:r>
          </w:p>
        </w:tc>
      </w:tr>
      <w:tr w:rsidR="0018361A" w:rsidTr="00041858">
        <w:trPr>
          <w:jc w:val="center"/>
        </w:trPr>
        <w:tc>
          <w:tcPr>
            <w:tcW w:w="8222" w:type="dxa"/>
            <w:vAlign w:val="bottom"/>
          </w:tcPr>
          <w:p w:rsidR="0018361A" w:rsidRPr="00CF24BC" w:rsidRDefault="00AF6B66" w:rsidP="00041858">
            <w:pPr>
              <w:pStyle w:val="CoverText"/>
              <w:rPr>
                <w:rFonts w:ascii="Verdana" w:hAnsi="Verdana"/>
                <w:sz w:val="22"/>
              </w:rPr>
            </w:pPr>
            <w:r w:rsidRPr="00CF24BC">
              <w:rPr>
                <w:rFonts w:ascii="Verdana" w:hAnsi="Verdana"/>
                <w:sz w:val="22"/>
              </w:rPr>
              <w:t>Presented to</w:t>
            </w:r>
          </w:p>
        </w:tc>
      </w:tr>
      <w:tr w:rsidR="0018361A" w:rsidTr="00041858">
        <w:trPr>
          <w:jc w:val="center"/>
        </w:trPr>
        <w:tc>
          <w:tcPr>
            <w:tcW w:w="8222" w:type="dxa"/>
            <w:vAlign w:val="bottom"/>
          </w:tcPr>
          <w:p w:rsidR="0018361A" w:rsidRPr="00CF24BC" w:rsidRDefault="00841550" w:rsidP="00041858">
            <w:pPr>
              <w:pStyle w:val="Date"/>
              <w:rPr>
                <w:rFonts w:ascii="Verdana" w:hAnsi="Verdana"/>
                <w:sz w:val="22"/>
              </w:rPr>
            </w:pPr>
            <w:r>
              <w:rPr>
                <w:rFonts w:ascii="Verdana" w:hAnsi="Verdana"/>
                <w:sz w:val="22"/>
              </w:rPr>
              <w:t>Procure n</w:t>
            </w:r>
            <w:r w:rsidR="00455F2A" w:rsidRPr="00CF24BC">
              <w:rPr>
                <w:rFonts w:ascii="Verdana" w:hAnsi="Verdana"/>
                <w:sz w:val="22"/>
              </w:rPr>
              <w:t xml:space="preserve">etwork partners and </w:t>
            </w:r>
            <w:r w:rsidR="00472665" w:rsidRPr="00CF24BC">
              <w:rPr>
                <w:rFonts w:ascii="Verdana" w:hAnsi="Verdana"/>
                <w:sz w:val="22"/>
              </w:rPr>
              <w:t>URBACT</w:t>
            </w:r>
          </w:p>
        </w:tc>
      </w:tr>
    </w:tbl>
    <w:p w:rsidR="0018361A" w:rsidRDefault="00D61013" w:rsidP="001D36AE">
      <w:r>
        <w:rPr>
          <w:noProof/>
          <w:lang w:val="fr-FR" w:eastAsia="fr-FR"/>
        </w:rPr>
        <w:drawing>
          <wp:anchor distT="0" distB="0" distL="114300" distR="114300" simplePos="0" relativeHeight="251660288" behindDoc="0" locked="0" layoutInCell="1" allowOverlap="1">
            <wp:simplePos x="0" y="0"/>
            <wp:positionH relativeFrom="margin">
              <wp:posOffset>4940300</wp:posOffset>
            </wp:positionH>
            <wp:positionV relativeFrom="margin">
              <wp:posOffset>7066915</wp:posOffset>
            </wp:positionV>
            <wp:extent cx="1168400" cy="562610"/>
            <wp:effectExtent l="0" t="0" r="0" b="8890"/>
            <wp:wrapSquare wrapText="bothSides"/>
            <wp:docPr id="2" name="Picture 2" descr="X:\Procure\Communications\Logo-URBACT-CMJN-Base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rocure\Communications\Logo-URBACT-CMJN-Baselin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8400" cy="562610"/>
                    </a:xfrm>
                    <a:prstGeom prst="rect">
                      <a:avLst/>
                    </a:prstGeom>
                    <a:noFill/>
                    <a:ln>
                      <a:noFill/>
                    </a:ln>
                  </pic:spPr>
                </pic:pic>
              </a:graphicData>
            </a:graphic>
          </wp:anchor>
        </w:drawing>
      </w:r>
      <w:r>
        <w:rPr>
          <w:noProof/>
          <w:lang w:val="fr-FR" w:eastAsia="fr-FR"/>
        </w:rPr>
        <w:drawing>
          <wp:anchor distT="0" distB="0" distL="114300" distR="114300" simplePos="0" relativeHeight="251659264" behindDoc="1" locked="0" layoutInCell="1" allowOverlap="1">
            <wp:simplePos x="0" y="0"/>
            <wp:positionH relativeFrom="page">
              <wp:posOffset>1057275</wp:posOffset>
            </wp:positionH>
            <wp:positionV relativeFrom="page">
              <wp:posOffset>9240520</wp:posOffset>
            </wp:positionV>
            <wp:extent cx="1066800" cy="922638"/>
            <wp:effectExtent l="0" t="0" r="0" b="0"/>
            <wp:wrapNone/>
            <wp:docPr id="5" name="Picture 5" descr="logo_euro_co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euro_couv"/>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0" cy="922638"/>
                    </a:xfrm>
                    <a:prstGeom prst="rect">
                      <a:avLst/>
                    </a:prstGeom>
                    <a:noFill/>
                    <a:ln>
                      <a:noFill/>
                    </a:ln>
                  </pic:spPr>
                </pic:pic>
              </a:graphicData>
            </a:graphic>
          </wp:anchor>
        </w:drawing>
      </w:r>
    </w:p>
    <w:p w:rsidR="003576EE" w:rsidRDefault="003576EE" w:rsidP="001D36AE">
      <w:pPr>
        <w:sectPr w:rsidR="003576EE" w:rsidSect="00E242BD">
          <w:headerReference w:type="even" r:id="rId11"/>
          <w:headerReference w:type="default" r:id="rId12"/>
          <w:footerReference w:type="even" r:id="rId13"/>
          <w:footerReference w:type="default" r:id="rId14"/>
          <w:headerReference w:type="first" r:id="rId15"/>
          <w:footerReference w:type="first" r:id="rId16"/>
          <w:pgSz w:w="11907" w:h="16839" w:code="9"/>
          <w:pgMar w:top="3402" w:right="1134" w:bottom="1134" w:left="1134" w:header="709" w:footer="709" w:gutter="0"/>
          <w:cols w:space="708"/>
          <w:docGrid w:linePitch="360"/>
        </w:sectPr>
      </w:pPr>
    </w:p>
    <w:p w:rsidR="00B75A1F" w:rsidRPr="00D14695" w:rsidRDefault="00671A92" w:rsidP="00B75A1F">
      <w:pPr>
        <w:pStyle w:val="Titre1"/>
        <w:rPr>
          <w:rFonts w:ascii="Verdana" w:hAnsi="Verdana"/>
          <w:szCs w:val="22"/>
        </w:rPr>
      </w:pPr>
      <w:bookmarkStart w:id="1" w:name="_Toc452465306"/>
      <w:r>
        <w:rPr>
          <w:rFonts w:ascii="Verdana" w:hAnsi="Verdana"/>
          <w:szCs w:val="22"/>
        </w:rPr>
        <w:lastRenderedPageBreak/>
        <w:t>case study</w:t>
      </w:r>
      <w:r w:rsidR="00816640">
        <w:rPr>
          <w:rFonts w:ascii="Verdana" w:hAnsi="Verdana"/>
          <w:szCs w:val="22"/>
        </w:rPr>
        <w:t xml:space="preserve"> 3</w:t>
      </w:r>
      <w:r w:rsidR="00CA2ACD" w:rsidRPr="00D14695">
        <w:rPr>
          <w:rFonts w:ascii="Verdana" w:hAnsi="Verdana"/>
          <w:szCs w:val="22"/>
        </w:rPr>
        <w:t xml:space="preserve"> – </w:t>
      </w:r>
      <w:bookmarkEnd w:id="1"/>
      <w:r w:rsidR="00816640">
        <w:rPr>
          <w:rFonts w:ascii="Verdana" w:hAnsi="Verdana"/>
          <w:szCs w:val="22"/>
        </w:rPr>
        <w:t>innovation in procurement (social criteria) – Lublin, candelaria, and almelo</w:t>
      </w:r>
    </w:p>
    <w:p w:rsidR="00B75A1F" w:rsidRPr="00D14695" w:rsidRDefault="00CA2ACD" w:rsidP="00B75A1F">
      <w:pPr>
        <w:pStyle w:val="Titre2"/>
        <w:rPr>
          <w:rFonts w:ascii="Verdana" w:hAnsi="Verdana"/>
          <w:szCs w:val="22"/>
        </w:rPr>
      </w:pPr>
      <w:bookmarkStart w:id="2" w:name="_Toc452465307"/>
      <w:r w:rsidRPr="00D14695">
        <w:rPr>
          <w:rFonts w:ascii="Verdana" w:hAnsi="Verdana"/>
          <w:szCs w:val="22"/>
        </w:rPr>
        <w:t>Introduction</w:t>
      </w:r>
      <w:bookmarkEnd w:id="2"/>
    </w:p>
    <w:p w:rsidR="001A41CB" w:rsidRDefault="001A41CB" w:rsidP="001A41CB">
      <w:pPr>
        <w:pStyle w:val="Corpsdetexte"/>
        <w:rPr>
          <w:rFonts w:ascii="Verdana" w:hAnsi="Verdana"/>
          <w:sz w:val="22"/>
        </w:rPr>
      </w:pPr>
      <w:r>
        <w:rPr>
          <w:rFonts w:ascii="Verdana" w:hAnsi="Verdana"/>
          <w:sz w:val="22"/>
        </w:rPr>
        <w:t>The third</w:t>
      </w:r>
      <w:r w:rsidRPr="00D14695">
        <w:rPr>
          <w:rFonts w:ascii="Verdana" w:hAnsi="Verdana"/>
          <w:sz w:val="22"/>
        </w:rPr>
        <w:t xml:space="preserve"> </w:t>
      </w:r>
      <w:r>
        <w:rPr>
          <w:rFonts w:ascii="Verdana" w:hAnsi="Verdana"/>
          <w:sz w:val="22"/>
        </w:rPr>
        <w:t xml:space="preserve">transnational </w:t>
      </w:r>
      <w:r w:rsidRPr="00D14695">
        <w:rPr>
          <w:rFonts w:ascii="Verdana" w:hAnsi="Verdana"/>
          <w:sz w:val="22"/>
        </w:rPr>
        <w:t xml:space="preserve">meeting of the Procure network took place </w:t>
      </w:r>
      <w:r>
        <w:rPr>
          <w:rFonts w:ascii="Verdana" w:hAnsi="Verdana"/>
          <w:sz w:val="22"/>
        </w:rPr>
        <w:t xml:space="preserve">in </w:t>
      </w:r>
      <w:hyperlink r:id="rId17" w:history="1">
        <w:r w:rsidRPr="00950F53">
          <w:rPr>
            <w:rStyle w:val="Lienhypertexte"/>
            <w:rFonts w:ascii="Verdana" w:hAnsi="Verdana"/>
            <w:sz w:val="22"/>
          </w:rPr>
          <w:t>Albacete, Spain</w:t>
        </w:r>
      </w:hyperlink>
      <w:r>
        <w:rPr>
          <w:rStyle w:val="Appelnotedebasdep"/>
          <w:rFonts w:ascii="Verdana" w:hAnsi="Verdana"/>
          <w:sz w:val="22"/>
        </w:rPr>
        <w:footnoteReference w:id="1"/>
      </w:r>
      <w:r>
        <w:rPr>
          <w:rFonts w:ascii="Verdana" w:hAnsi="Verdana"/>
          <w:sz w:val="22"/>
        </w:rPr>
        <w:t xml:space="preserve"> on Tuesday 13</w:t>
      </w:r>
      <w:r w:rsidRPr="0037443A">
        <w:rPr>
          <w:rFonts w:ascii="Verdana" w:hAnsi="Verdana"/>
          <w:sz w:val="22"/>
          <w:vertAlign w:val="superscript"/>
        </w:rPr>
        <w:t>th</w:t>
      </w:r>
      <w:r>
        <w:rPr>
          <w:rFonts w:ascii="Verdana" w:hAnsi="Verdana"/>
          <w:sz w:val="22"/>
        </w:rPr>
        <w:t xml:space="preserve"> and Wednesday 14</w:t>
      </w:r>
      <w:r w:rsidRPr="0037443A">
        <w:rPr>
          <w:rFonts w:ascii="Verdana" w:hAnsi="Verdana"/>
          <w:sz w:val="22"/>
          <w:vertAlign w:val="superscript"/>
        </w:rPr>
        <w:t>th</w:t>
      </w:r>
      <w:r>
        <w:rPr>
          <w:rFonts w:ascii="Verdana" w:hAnsi="Verdana"/>
          <w:sz w:val="22"/>
        </w:rPr>
        <w:t xml:space="preserve"> December 2016</w:t>
      </w:r>
      <w:r w:rsidRPr="00D14695">
        <w:rPr>
          <w:rFonts w:ascii="Verdana" w:hAnsi="Verdana"/>
          <w:sz w:val="22"/>
        </w:rPr>
        <w:t xml:space="preserve">. </w:t>
      </w:r>
      <w:r>
        <w:rPr>
          <w:rFonts w:ascii="Verdana" w:hAnsi="Verdana"/>
          <w:sz w:val="22"/>
        </w:rPr>
        <w:t>The focus was upon the thematic area of innovation in procurement and specifically around embedding social considerations and criteria into the process. The thematic element of the meeting looked to address five key questions (these have been previously identified by the partners as part of the baseline study):</w:t>
      </w:r>
    </w:p>
    <w:p w:rsidR="001A41CB" w:rsidRDefault="001A41CB" w:rsidP="001A41CB">
      <w:pPr>
        <w:pStyle w:val="Listepuces"/>
        <w:rPr>
          <w:rFonts w:ascii="Verdana" w:hAnsi="Verdana"/>
          <w:sz w:val="22"/>
        </w:rPr>
      </w:pPr>
      <w:r>
        <w:rPr>
          <w:rFonts w:ascii="Verdana" w:hAnsi="Verdana"/>
          <w:sz w:val="22"/>
        </w:rPr>
        <w:t>What is meant by social criteria?</w:t>
      </w:r>
    </w:p>
    <w:p w:rsidR="001A41CB" w:rsidRDefault="001A41CB" w:rsidP="001A41CB">
      <w:pPr>
        <w:pStyle w:val="Listepuces"/>
        <w:rPr>
          <w:rFonts w:ascii="Verdana" w:hAnsi="Verdana"/>
          <w:sz w:val="22"/>
        </w:rPr>
      </w:pPr>
      <w:r>
        <w:rPr>
          <w:rFonts w:ascii="Verdana" w:hAnsi="Verdana"/>
          <w:sz w:val="22"/>
        </w:rPr>
        <w:t>How is social criteria developed and how is it embedded into tenders?</w:t>
      </w:r>
    </w:p>
    <w:p w:rsidR="001A41CB" w:rsidRDefault="001A41CB" w:rsidP="001A41CB">
      <w:pPr>
        <w:pStyle w:val="Listepuces"/>
        <w:rPr>
          <w:rFonts w:ascii="Verdana" w:hAnsi="Verdana"/>
          <w:sz w:val="22"/>
        </w:rPr>
      </w:pPr>
      <w:r>
        <w:rPr>
          <w:rFonts w:ascii="Verdana" w:hAnsi="Verdana"/>
          <w:sz w:val="22"/>
        </w:rPr>
        <w:t>How is an effective balance found between price, quality and social value?</w:t>
      </w:r>
    </w:p>
    <w:p w:rsidR="001A41CB" w:rsidRDefault="001A41CB" w:rsidP="001A41CB">
      <w:pPr>
        <w:pStyle w:val="Listepuces"/>
        <w:rPr>
          <w:rFonts w:ascii="Verdana" w:hAnsi="Verdana"/>
          <w:sz w:val="22"/>
        </w:rPr>
      </w:pPr>
      <w:r>
        <w:rPr>
          <w:rFonts w:ascii="Verdana" w:hAnsi="Verdana"/>
          <w:sz w:val="22"/>
        </w:rPr>
        <w:t>How is quality and social impact measured and scored?</w:t>
      </w:r>
    </w:p>
    <w:p w:rsidR="001A41CB" w:rsidRDefault="001A41CB" w:rsidP="001A41CB">
      <w:pPr>
        <w:pStyle w:val="Listepuces"/>
        <w:rPr>
          <w:rFonts w:ascii="Verdana" w:hAnsi="Verdana"/>
          <w:sz w:val="22"/>
        </w:rPr>
      </w:pPr>
      <w:r>
        <w:rPr>
          <w:rFonts w:ascii="Verdana" w:hAnsi="Verdana"/>
          <w:sz w:val="22"/>
        </w:rPr>
        <w:t>How are better relationships developed with suppliers around social criteria?</w:t>
      </w:r>
    </w:p>
    <w:p w:rsidR="00334A0D" w:rsidRPr="00D14695" w:rsidRDefault="00334A0D" w:rsidP="00334A0D">
      <w:pPr>
        <w:pStyle w:val="Listepuces"/>
        <w:numPr>
          <w:ilvl w:val="0"/>
          <w:numId w:val="0"/>
        </w:numPr>
        <w:ind w:left="1304"/>
        <w:rPr>
          <w:rFonts w:ascii="Verdana" w:hAnsi="Verdana"/>
          <w:sz w:val="22"/>
        </w:rPr>
      </w:pPr>
    </w:p>
    <w:p w:rsidR="007D0A1E" w:rsidRPr="00D14695" w:rsidRDefault="00671A92" w:rsidP="00671A92">
      <w:pPr>
        <w:pStyle w:val="Corpsdetexte"/>
        <w:rPr>
          <w:rFonts w:ascii="Verdana" w:hAnsi="Verdana"/>
          <w:sz w:val="22"/>
        </w:rPr>
      </w:pPr>
      <w:r>
        <w:rPr>
          <w:rFonts w:ascii="Verdana" w:hAnsi="Verdana"/>
          <w:sz w:val="22"/>
        </w:rPr>
        <w:t xml:space="preserve">The findings of this </w:t>
      </w:r>
      <w:r w:rsidR="008D6FD4">
        <w:rPr>
          <w:rFonts w:ascii="Verdana" w:hAnsi="Verdana"/>
          <w:sz w:val="22"/>
        </w:rPr>
        <w:t>h</w:t>
      </w:r>
      <w:r>
        <w:rPr>
          <w:rFonts w:ascii="Verdana" w:hAnsi="Verdana"/>
          <w:sz w:val="22"/>
        </w:rPr>
        <w:t>ave been written up into a post meeting briefing note. To supplement the briefing note, this case study looks specif</w:t>
      </w:r>
      <w:r w:rsidR="0055445F">
        <w:rPr>
          <w:rFonts w:ascii="Verdana" w:hAnsi="Verdana"/>
          <w:sz w:val="22"/>
        </w:rPr>
        <w:t>ically at the example</w:t>
      </w:r>
      <w:r w:rsidR="001A41CB">
        <w:rPr>
          <w:rFonts w:ascii="Verdana" w:hAnsi="Verdana"/>
          <w:sz w:val="22"/>
        </w:rPr>
        <w:t>s</w:t>
      </w:r>
      <w:r w:rsidR="0055445F">
        <w:rPr>
          <w:rFonts w:ascii="Verdana" w:hAnsi="Verdana"/>
          <w:sz w:val="22"/>
        </w:rPr>
        <w:t xml:space="preserve"> of </w:t>
      </w:r>
      <w:r w:rsidR="001A41CB">
        <w:rPr>
          <w:rFonts w:ascii="Verdana" w:hAnsi="Verdana"/>
          <w:sz w:val="22"/>
        </w:rPr>
        <w:t>Lublin (Poland), Candelaria (Spain), and Almelo (Netherlands)</w:t>
      </w:r>
      <w:r w:rsidR="0055445F">
        <w:rPr>
          <w:rFonts w:ascii="Verdana" w:hAnsi="Verdana"/>
          <w:sz w:val="22"/>
        </w:rPr>
        <w:t xml:space="preserve"> and how they </w:t>
      </w:r>
      <w:r w:rsidR="001A41CB">
        <w:rPr>
          <w:rFonts w:ascii="Verdana" w:hAnsi="Verdana"/>
          <w:sz w:val="22"/>
        </w:rPr>
        <w:t>are considering and addressing social considerations through procurement</w:t>
      </w:r>
      <w:r w:rsidR="0055445F">
        <w:rPr>
          <w:rFonts w:ascii="Verdana" w:hAnsi="Verdana"/>
          <w:sz w:val="22"/>
        </w:rPr>
        <w:t>.</w:t>
      </w:r>
      <w:r w:rsidR="006904B5">
        <w:rPr>
          <w:rFonts w:ascii="Verdana" w:hAnsi="Verdana"/>
          <w:sz w:val="22"/>
        </w:rPr>
        <w:t xml:space="preserve"> These examples were discussed during a ‘walk and talk’ session at the transnational meeting.</w:t>
      </w:r>
      <w:r w:rsidR="0055445F">
        <w:rPr>
          <w:rFonts w:ascii="Verdana" w:hAnsi="Verdana"/>
          <w:sz w:val="22"/>
        </w:rPr>
        <w:t xml:space="preserve"> </w:t>
      </w:r>
      <w:r>
        <w:rPr>
          <w:rFonts w:ascii="Verdana" w:hAnsi="Verdana"/>
          <w:sz w:val="22"/>
        </w:rPr>
        <w:t xml:space="preserve"> </w:t>
      </w:r>
    </w:p>
    <w:p w:rsidR="007E144B" w:rsidRDefault="001A41CB" w:rsidP="007D0A1E">
      <w:pPr>
        <w:pStyle w:val="Titre2"/>
        <w:rPr>
          <w:rFonts w:ascii="Verdana" w:hAnsi="Verdana"/>
          <w:szCs w:val="22"/>
        </w:rPr>
      </w:pPr>
      <w:r>
        <w:rPr>
          <w:rFonts w:ascii="Verdana" w:hAnsi="Verdana"/>
          <w:szCs w:val="22"/>
        </w:rPr>
        <w:t xml:space="preserve">A reminder </w:t>
      </w:r>
      <w:r w:rsidR="00CC1702">
        <w:rPr>
          <w:rFonts w:ascii="Verdana" w:hAnsi="Verdana"/>
          <w:szCs w:val="22"/>
        </w:rPr>
        <w:t xml:space="preserve">about </w:t>
      </w:r>
      <w:r>
        <w:rPr>
          <w:rFonts w:ascii="Verdana" w:hAnsi="Verdana"/>
          <w:szCs w:val="22"/>
        </w:rPr>
        <w:t>innovation in procurement and social criteria</w:t>
      </w:r>
    </w:p>
    <w:p w:rsidR="001A41CB" w:rsidRPr="00BB4452" w:rsidRDefault="001A41CB" w:rsidP="001A41CB">
      <w:pPr>
        <w:pStyle w:val="Corpsdetexte"/>
        <w:rPr>
          <w:rFonts w:ascii="Verdana" w:hAnsi="Verdana"/>
          <w:sz w:val="22"/>
        </w:rPr>
      </w:pPr>
      <w:r>
        <w:rPr>
          <w:rFonts w:ascii="Verdana" w:hAnsi="Verdana"/>
          <w:sz w:val="22"/>
        </w:rPr>
        <w:t xml:space="preserve">There are eight key means </w:t>
      </w:r>
      <w:r w:rsidRPr="00BB4452">
        <w:rPr>
          <w:rFonts w:ascii="Verdana" w:hAnsi="Verdana"/>
          <w:sz w:val="22"/>
        </w:rPr>
        <w:t xml:space="preserve">of embedding social criteria into procurement – these were </w:t>
      </w:r>
      <w:r>
        <w:rPr>
          <w:rFonts w:ascii="Verdana" w:hAnsi="Verdana"/>
          <w:sz w:val="22"/>
        </w:rPr>
        <w:t xml:space="preserve">also </w:t>
      </w:r>
      <w:r w:rsidRPr="00BB4452">
        <w:rPr>
          <w:rFonts w:ascii="Verdana" w:hAnsi="Verdana"/>
          <w:sz w:val="22"/>
        </w:rPr>
        <w:t xml:space="preserve">provided in the pre-meeting </w:t>
      </w:r>
      <w:r>
        <w:rPr>
          <w:rFonts w:ascii="Verdana" w:hAnsi="Verdana"/>
          <w:sz w:val="22"/>
        </w:rPr>
        <w:t xml:space="preserve">and post-meeting </w:t>
      </w:r>
      <w:r w:rsidRPr="00BB4452">
        <w:rPr>
          <w:rFonts w:ascii="Verdana" w:hAnsi="Verdana"/>
          <w:sz w:val="22"/>
        </w:rPr>
        <w:t>briefing note</w:t>
      </w:r>
      <w:r>
        <w:rPr>
          <w:rFonts w:ascii="Verdana" w:hAnsi="Verdana"/>
          <w:sz w:val="22"/>
        </w:rPr>
        <w:t>s</w:t>
      </w:r>
      <w:r w:rsidRPr="00BB4452">
        <w:rPr>
          <w:rFonts w:ascii="Verdana" w:hAnsi="Verdana"/>
          <w:sz w:val="22"/>
        </w:rPr>
        <w:t xml:space="preserve"> but are worth reiterating here.</w:t>
      </w:r>
      <w:r>
        <w:rPr>
          <w:rFonts w:ascii="Verdana" w:hAnsi="Verdana"/>
          <w:sz w:val="22"/>
        </w:rPr>
        <w:t xml:space="preserve"> They relate to the four stages of the </w:t>
      </w:r>
      <w:r w:rsidR="006904B5">
        <w:rPr>
          <w:rFonts w:ascii="Verdana" w:hAnsi="Verdana"/>
          <w:sz w:val="22"/>
        </w:rPr>
        <w:t>commissioning and procurement cycle and are as follows:</w:t>
      </w:r>
    </w:p>
    <w:p w:rsidR="001A41CB" w:rsidRPr="00BB4452" w:rsidRDefault="001A41CB" w:rsidP="001A41CB">
      <w:pPr>
        <w:pStyle w:val="Titre3"/>
        <w:rPr>
          <w:rFonts w:ascii="Verdana" w:hAnsi="Verdana"/>
          <w:sz w:val="22"/>
        </w:rPr>
      </w:pPr>
      <w:r w:rsidRPr="00BB4452">
        <w:rPr>
          <w:rFonts w:ascii="Verdana" w:hAnsi="Verdana"/>
          <w:sz w:val="22"/>
        </w:rPr>
        <w:t>Design of the service (commissioning)</w:t>
      </w:r>
    </w:p>
    <w:p w:rsidR="001A41CB" w:rsidRPr="00BB4452" w:rsidRDefault="001A41CB" w:rsidP="001A41CB">
      <w:pPr>
        <w:pStyle w:val="Corpsdetexte"/>
        <w:rPr>
          <w:rFonts w:ascii="Verdana" w:hAnsi="Verdana"/>
          <w:sz w:val="22"/>
        </w:rPr>
      </w:pPr>
      <w:r w:rsidRPr="00BB4452">
        <w:rPr>
          <w:rFonts w:ascii="Verdana" w:hAnsi="Verdana"/>
          <w:sz w:val="22"/>
        </w:rPr>
        <w:t xml:space="preserve">The best place to consider social factors in the procurement cycle is at the design of the service or the commissioning stage. If they are not considered at this stage, it can often to be too late. There are two key ways to consider social factors in the commissioning stage: </w:t>
      </w:r>
    </w:p>
    <w:p w:rsidR="001A41CB" w:rsidRPr="00BB4452" w:rsidRDefault="001A41CB" w:rsidP="001A41CB">
      <w:pPr>
        <w:pStyle w:val="Titre4"/>
        <w:rPr>
          <w:rFonts w:ascii="Verdana" w:hAnsi="Verdana"/>
          <w:sz w:val="22"/>
        </w:rPr>
      </w:pPr>
      <w:r w:rsidRPr="00BB4452">
        <w:rPr>
          <w:rFonts w:ascii="Verdana" w:hAnsi="Verdana"/>
          <w:sz w:val="22"/>
        </w:rPr>
        <w:t>Mean 1 – innovate for outcomes</w:t>
      </w:r>
    </w:p>
    <w:p w:rsidR="001A41CB" w:rsidRPr="00BB4452" w:rsidRDefault="001A41CB" w:rsidP="001A41CB">
      <w:pPr>
        <w:pStyle w:val="Corpsdetexte"/>
        <w:rPr>
          <w:rFonts w:ascii="Verdana" w:hAnsi="Verdana"/>
          <w:sz w:val="22"/>
        </w:rPr>
      </w:pPr>
      <w:r w:rsidRPr="00BB4452">
        <w:rPr>
          <w:rFonts w:ascii="Verdana" w:hAnsi="Verdana"/>
          <w:sz w:val="22"/>
        </w:rPr>
        <w:t xml:space="preserve">The </w:t>
      </w:r>
      <w:proofErr w:type="gramStart"/>
      <w:r w:rsidRPr="00BB4452">
        <w:rPr>
          <w:rFonts w:ascii="Verdana" w:hAnsi="Verdana"/>
          <w:sz w:val="22"/>
        </w:rPr>
        <w:t>first,</w:t>
      </w:r>
      <w:proofErr w:type="gramEnd"/>
      <w:r w:rsidRPr="00BB4452">
        <w:rPr>
          <w:rFonts w:ascii="Verdana" w:hAnsi="Verdana"/>
          <w:sz w:val="22"/>
        </w:rPr>
        <w:t xml:space="preserve"> and as already described is to adopt a PPI approach whereby suppliers are engaged to create a good or service which is not already on the market. This is important from a social perspective in that the design of that good or </w:t>
      </w:r>
      <w:proofErr w:type="gramStart"/>
      <w:r w:rsidRPr="00BB4452">
        <w:rPr>
          <w:rFonts w:ascii="Verdana" w:hAnsi="Verdana"/>
          <w:sz w:val="22"/>
        </w:rPr>
        <w:t>service</w:t>
      </w:r>
      <w:proofErr w:type="gramEnd"/>
      <w:r w:rsidRPr="00BB4452">
        <w:rPr>
          <w:rFonts w:ascii="Verdana" w:hAnsi="Verdana"/>
          <w:sz w:val="22"/>
        </w:rPr>
        <w:t xml:space="preserve"> can be subsequently linked to wider outcomes that a place is seeking to address such as ill-health or crime and that the good or service will be more relevant to that outcome.</w:t>
      </w:r>
    </w:p>
    <w:p w:rsidR="001A41CB" w:rsidRPr="00BB4452" w:rsidRDefault="001A41CB" w:rsidP="001A41CB">
      <w:pPr>
        <w:pStyle w:val="Titre4"/>
        <w:rPr>
          <w:rFonts w:ascii="Verdana" w:hAnsi="Verdana"/>
          <w:sz w:val="22"/>
        </w:rPr>
      </w:pPr>
      <w:r w:rsidRPr="00BB4452">
        <w:rPr>
          <w:rFonts w:ascii="Verdana" w:hAnsi="Verdana"/>
          <w:sz w:val="22"/>
        </w:rPr>
        <w:t>Mean 2 – link design to wider issues</w:t>
      </w:r>
    </w:p>
    <w:p w:rsidR="001A41CB" w:rsidRPr="00BB4452" w:rsidRDefault="001A41CB" w:rsidP="001A41CB">
      <w:pPr>
        <w:pStyle w:val="Corpsdetexte"/>
        <w:rPr>
          <w:rFonts w:ascii="Verdana" w:hAnsi="Verdana"/>
          <w:sz w:val="22"/>
        </w:rPr>
      </w:pPr>
      <w:r w:rsidRPr="00BB4452">
        <w:rPr>
          <w:rFonts w:ascii="Verdana" w:hAnsi="Verdana"/>
          <w:sz w:val="22"/>
        </w:rPr>
        <w:t xml:space="preserve">The second is for commissioners to actively consider in the design process what wider issues their product or service can potentially address; they can then embed this into the procurement process. For example, they may wish to consider how the construction of a new railway station can address youth unemployment. The answer is potentially through ensuring there is a clause in the procurement for suppliers to create a certain number of apprenticeships as </w:t>
      </w:r>
      <w:r w:rsidRPr="00BB4452">
        <w:rPr>
          <w:rFonts w:ascii="Verdana" w:hAnsi="Verdana"/>
          <w:sz w:val="22"/>
        </w:rPr>
        <w:lastRenderedPageBreak/>
        <w:t xml:space="preserve">part of their contract. The key is that these discussions take place in commissioning and not once the required good or service has reached the procurement and decision stage. </w:t>
      </w:r>
    </w:p>
    <w:p w:rsidR="001A41CB" w:rsidRPr="00BB4452" w:rsidRDefault="001A41CB" w:rsidP="001A41CB">
      <w:pPr>
        <w:pStyle w:val="Titre3"/>
        <w:rPr>
          <w:rFonts w:ascii="Verdana" w:hAnsi="Verdana"/>
          <w:sz w:val="22"/>
        </w:rPr>
      </w:pPr>
      <w:r w:rsidRPr="00BB4452">
        <w:rPr>
          <w:rFonts w:ascii="Verdana" w:hAnsi="Verdana"/>
          <w:sz w:val="22"/>
        </w:rPr>
        <w:t>Procurement strategy and tender processes</w:t>
      </w:r>
    </w:p>
    <w:p w:rsidR="001A41CB" w:rsidRPr="00BB4452" w:rsidRDefault="001A41CB" w:rsidP="001A41CB">
      <w:pPr>
        <w:pStyle w:val="Corpsdetexte"/>
        <w:rPr>
          <w:rFonts w:ascii="Verdana" w:hAnsi="Verdana"/>
          <w:sz w:val="22"/>
        </w:rPr>
      </w:pPr>
      <w:r w:rsidRPr="00BB4452">
        <w:rPr>
          <w:rFonts w:ascii="Verdana" w:hAnsi="Verdana"/>
          <w:sz w:val="22"/>
        </w:rPr>
        <w:t>There are four key means through which social factors can be considered and embedded in procurement strategy and tender processes:</w:t>
      </w:r>
    </w:p>
    <w:p w:rsidR="001A41CB" w:rsidRPr="00BB4452" w:rsidRDefault="001A41CB" w:rsidP="001A41CB">
      <w:pPr>
        <w:pStyle w:val="Titre4"/>
        <w:rPr>
          <w:rFonts w:ascii="Verdana" w:hAnsi="Verdana"/>
          <w:sz w:val="22"/>
        </w:rPr>
      </w:pPr>
      <w:r w:rsidRPr="00BB4452">
        <w:rPr>
          <w:rFonts w:ascii="Verdana" w:hAnsi="Verdana"/>
          <w:sz w:val="22"/>
        </w:rPr>
        <w:t>Mean 3 - Link procurement to wider priorities</w:t>
      </w:r>
    </w:p>
    <w:p w:rsidR="001A41CB" w:rsidRPr="00BB4452" w:rsidRDefault="001A41CB" w:rsidP="001A41CB">
      <w:pPr>
        <w:pStyle w:val="Corpsdetexte"/>
        <w:rPr>
          <w:rFonts w:ascii="Verdana" w:hAnsi="Verdana"/>
          <w:sz w:val="22"/>
        </w:rPr>
      </w:pPr>
      <w:r w:rsidRPr="00BB4452">
        <w:rPr>
          <w:rFonts w:ascii="Verdana" w:hAnsi="Verdana"/>
          <w:sz w:val="22"/>
        </w:rPr>
        <w:t xml:space="preserve">The first is to frame procurement strategy in relation to the wider priorities facing a city. A procurement strategy could, for example, focus on both detailing compliance with legislation and processes; and detailing the key and wider economic, social and environmental priorities that the city has. It could be as simple as saying that our city has the following three priorities: reducing unemployment; raising skills; and increasing growth of the private sector. </w:t>
      </w:r>
      <w:proofErr w:type="gramStart"/>
      <w:r w:rsidRPr="00BB4452">
        <w:rPr>
          <w:rFonts w:ascii="Verdana" w:hAnsi="Verdana"/>
          <w:sz w:val="22"/>
        </w:rPr>
        <w:t>This intrinsically then links procurement to wider priorities.</w:t>
      </w:r>
      <w:proofErr w:type="gramEnd"/>
      <w:r w:rsidRPr="00BB4452">
        <w:rPr>
          <w:rFonts w:ascii="Verdana" w:hAnsi="Verdana"/>
          <w:sz w:val="22"/>
        </w:rPr>
        <w:t xml:space="preserve"> Cities can then also detail these priorities in their tender documents – this automatically gets potential suppliers thinking that they may also need to contribute towards addressing those issues as part of their bid and in the delivery of the good or service.  </w:t>
      </w:r>
    </w:p>
    <w:p w:rsidR="001A41CB" w:rsidRPr="00BB4452" w:rsidRDefault="001A41CB" w:rsidP="001A41CB">
      <w:pPr>
        <w:pStyle w:val="Titre4"/>
        <w:rPr>
          <w:rFonts w:ascii="Verdana" w:hAnsi="Verdana"/>
          <w:sz w:val="22"/>
        </w:rPr>
      </w:pPr>
      <w:r w:rsidRPr="00BB4452">
        <w:rPr>
          <w:rFonts w:ascii="Verdana" w:hAnsi="Verdana"/>
          <w:sz w:val="22"/>
        </w:rPr>
        <w:t>Mean 4 - Set criteria around social factors</w:t>
      </w:r>
    </w:p>
    <w:p w:rsidR="001A41CB" w:rsidRPr="00BB4452" w:rsidRDefault="001A41CB" w:rsidP="001A41CB">
      <w:pPr>
        <w:pStyle w:val="Corpsdetexte"/>
        <w:rPr>
          <w:rFonts w:ascii="Verdana" w:hAnsi="Verdana"/>
          <w:sz w:val="22"/>
        </w:rPr>
      </w:pPr>
      <w:r w:rsidRPr="00BB4452">
        <w:rPr>
          <w:rFonts w:ascii="Verdana" w:hAnsi="Verdana"/>
          <w:sz w:val="22"/>
        </w:rPr>
        <w:t xml:space="preserve">The second is to allocate criteria in procurement around social factors. The stock way of making a procurement decision historically has been around cost – with often, upwards of 80% of the decision-making criteria allocated to this. If cities want to use procurement to address wider issues, the decision-making process also needs to look more intensely at considerations of quality and social factors. So, for example they may have more of a balanced decision-making process where 45% is awarded on cost, 45% on quality, and 10% on social factors; with the proportion attributed to social considerations dependent on the nature of the good or service. </w:t>
      </w:r>
    </w:p>
    <w:p w:rsidR="001A41CB" w:rsidRPr="00BB4452" w:rsidRDefault="001A41CB" w:rsidP="001A41CB">
      <w:pPr>
        <w:pStyle w:val="Titre4"/>
        <w:rPr>
          <w:rFonts w:ascii="Verdana" w:hAnsi="Verdana"/>
          <w:sz w:val="22"/>
        </w:rPr>
      </w:pPr>
      <w:r w:rsidRPr="00BB4452">
        <w:rPr>
          <w:rFonts w:ascii="Verdana" w:hAnsi="Verdana"/>
          <w:sz w:val="22"/>
        </w:rPr>
        <w:t>Mean 5 – Ask questions around social factors</w:t>
      </w:r>
    </w:p>
    <w:p w:rsidR="001A41CB" w:rsidRPr="00BB4452" w:rsidRDefault="001A41CB" w:rsidP="001A41CB">
      <w:pPr>
        <w:pStyle w:val="Corpsdetexte"/>
        <w:rPr>
          <w:rFonts w:ascii="Verdana" w:hAnsi="Verdana"/>
          <w:sz w:val="22"/>
        </w:rPr>
      </w:pPr>
      <w:r w:rsidRPr="00BB4452">
        <w:rPr>
          <w:rFonts w:ascii="Verdana" w:hAnsi="Verdana"/>
          <w:sz w:val="22"/>
        </w:rPr>
        <w:t xml:space="preserve">If cities are to include considerations around social factors in their decision-making processes, then they need to ask questions around social factors in their tender documentation. This will enable them to subsequently score bidders against these considerations. The questions might be, for example: ‘how are you going to create jobs through the delivery of this good or service’ or ‘how are you going to upskill your workforce through the delivery of this good or service’ or ‘how are you going to ensure that carbon emissions are kept to a minimum through the delivery of this good or service’. </w:t>
      </w:r>
    </w:p>
    <w:p w:rsidR="001A41CB" w:rsidRPr="00BB4452" w:rsidRDefault="001A41CB" w:rsidP="001A41CB">
      <w:pPr>
        <w:pStyle w:val="Titre4"/>
        <w:rPr>
          <w:rFonts w:ascii="Verdana" w:hAnsi="Verdana"/>
          <w:sz w:val="22"/>
        </w:rPr>
      </w:pPr>
      <w:r w:rsidRPr="00BB4452">
        <w:rPr>
          <w:rFonts w:ascii="Verdana" w:hAnsi="Verdana"/>
          <w:sz w:val="22"/>
        </w:rPr>
        <w:t>Mean 6 – Through including social clauses</w:t>
      </w:r>
    </w:p>
    <w:p w:rsidR="001A41CB" w:rsidRPr="00BB4452" w:rsidRDefault="001A41CB" w:rsidP="001A41CB">
      <w:pPr>
        <w:pStyle w:val="Corpsdetexte"/>
        <w:rPr>
          <w:rFonts w:ascii="Verdana" w:hAnsi="Verdana"/>
          <w:sz w:val="22"/>
        </w:rPr>
      </w:pPr>
      <w:r w:rsidRPr="00BB4452">
        <w:rPr>
          <w:rFonts w:ascii="Verdana" w:hAnsi="Verdana"/>
          <w:sz w:val="22"/>
        </w:rPr>
        <w:t xml:space="preserve">Where appropriate and relevant to the subject of the good or service, cities can include specific obligations on potential suppliers to deliver social clauses. For example, they can ask construction companies to create one job or one apprenticeship per million euros spent with that organisation. This is often referred to as targeted recruitment and training as it uses the process of procurement to address wider issues a place faces particularly around (youth) unemployment. Clauses can also be used in other contracts and address other issues beyond employment. For example, suppliers can be stipulated to reach certain standards for products. </w:t>
      </w:r>
    </w:p>
    <w:p w:rsidR="001A41CB" w:rsidRPr="00BB4452" w:rsidRDefault="001A41CB" w:rsidP="001A41CB">
      <w:pPr>
        <w:pStyle w:val="Titre3"/>
        <w:rPr>
          <w:rFonts w:ascii="Verdana" w:hAnsi="Verdana"/>
          <w:sz w:val="22"/>
        </w:rPr>
      </w:pPr>
      <w:r w:rsidRPr="00BB4452">
        <w:rPr>
          <w:rFonts w:ascii="Verdana" w:hAnsi="Verdana"/>
          <w:sz w:val="22"/>
        </w:rPr>
        <w:lastRenderedPageBreak/>
        <w:t>Making the decision</w:t>
      </w:r>
    </w:p>
    <w:p w:rsidR="001A41CB" w:rsidRPr="00BB4452" w:rsidRDefault="001A41CB" w:rsidP="001A41CB">
      <w:pPr>
        <w:pStyle w:val="Corpsdetexte"/>
        <w:rPr>
          <w:rFonts w:ascii="Verdana" w:hAnsi="Verdana"/>
          <w:sz w:val="22"/>
        </w:rPr>
      </w:pPr>
      <w:r w:rsidRPr="00BB4452">
        <w:rPr>
          <w:rFonts w:ascii="Verdana" w:hAnsi="Verdana"/>
          <w:sz w:val="22"/>
        </w:rPr>
        <w:t>There is one key mean of embedding social considerations in the making the decision stage.</w:t>
      </w:r>
    </w:p>
    <w:p w:rsidR="001A41CB" w:rsidRPr="00BB4452" w:rsidRDefault="001A41CB" w:rsidP="001A41CB">
      <w:pPr>
        <w:pStyle w:val="Titre4"/>
        <w:rPr>
          <w:rFonts w:ascii="Verdana" w:hAnsi="Verdana"/>
          <w:sz w:val="22"/>
        </w:rPr>
      </w:pPr>
      <w:r w:rsidRPr="00BB4452">
        <w:rPr>
          <w:rFonts w:ascii="Verdana" w:hAnsi="Verdana"/>
          <w:sz w:val="22"/>
        </w:rPr>
        <w:t>Mean 7 – Score against social criteria</w:t>
      </w:r>
    </w:p>
    <w:p w:rsidR="001A41CB" w:rsidRPr="00BB4452" w:rsidRDefault="001A41CB" w:rsidP="001A41CB">
      <w:pPr>
        <w:pStyle w:val="Corpsdetexte"/>
        <w:rPr>
          <w:rFonts w:ascii="Verdana" w:hAnsi="Verdana"/>
          <w:sz w:val="22"/>
        </w:rPr>
      </w:pPr>
      <w:r w:rsidRPr="00BB4452">
        <w:rPr>
          <w:rFonts w:ascii="Verdana" w:hAnsi="Verdana"/>
          <w:sz w:val="22"/>
        </w:rPr>
        <w:t>If Cities are involving means 3</w:t>
      </w:r>
      <w:proofErr w:type="gramStart"/>
      <w:r w:rsidRPr="00BB4452">
        <w:rPr>
          <w:rFonts w:ascii="Verdana" w:hAnsi="Verdana"/>
          <w:sz w:val="22"/>
        </w:rPr>
        <w:t>,4,5</w:t>
      </w:r>
      <w:proofErr w:type="gramEnd"/>
      <w:r w:rsidRPr="00BB4452">
        <w:rPr>
          <w:rFonts w:ascii="Verdana" w:hAnsi="Verdana"/>
          <w:sz w:val="22"/>
        </w:rPr>
        <w:t xml:space="preserve"> and 6 (as described above) in their procurement strategies and tender processes, then they need to make sure that they score against these in making the decision as to who wins a particular contract. At the decision-making stage, cities therefore need to develop a means by which they score social considerations alongside those considerations of cost and quality. This can include both quantitative scoring, for example the number of jobs a supplier is proposing to create; or qualitative scoring, for example the quality of terms and conditions offered to employees of suppliers. The important consideration is that scoring mechanisms are both robust and straightforward for those making the decision.  </w:t>
      </w:r>
    </w:p>
    <w:p w:rsidR="001A41CB" w:rsidRPr="00BB4452" w:rsidRDefault="001A41CB" w:rsidP="001A41CB">
      <w:pPr>
        <w:pStyle w:val="Titre3"/>
        <w:rPr>
          <w:rFonts w:ascii="Verdana" w:hAnsi="Verdana"/>
          <w:sz w:val="22"/>
        </w:rPr>
      </w:pPr>
      <w:r w:rsidRPr="00BB4452">
        <w:rPr>
          <w:rFonts w:ascii="Verdana" w:hAnsi="Verdana"/>
          <w:sz w:val="22"/>
        </w:rPr>
        <w:t>Monitoring</w:t>
      </w:r>
    </w:p>
    <w:p w:rsidR="001A41CB" w:rsidRPr="00BB4452" w:rsidRDefault="001A41CB" w:rsidP="001A41CB">
      <w:pPr>
        <w:pStyle w:val="Corpsdetexte"/>
        <w:rPr>
          <w:rFonts w:ascii="Verdana" w:hAnsi="Verdana"/>
          <w:sz w:val="22"/>
        </w:rPr>
      </w:pPr>
      <w:r w:rsidRPr="00BB4452">
        <w:rPr>
          <w:rFonts w:ascii="Verdana" w:hAnsi="Verdana"/>
          <w:sz w:val="22"/>
        </w:rPr>
        <w:t>The key mistake cities often make around social considerations in procurement is that they implement the means described above, let the supplier go out and deliver the service or provide the good, and then do not monitor delivery against social aspects which were promised in the bid.</w:t>
      </w:r>
    </w:p>
    <w:p w:rsidR="001A41CB" w:rsidRPr="00BB4452" w:rsidRDefault="001A41CB" w:rsidP="001A41CB">
      <w:pPr>
        <w:pStyle w:val="Titre4"/>
        <w:rPr>
          <w:rFonts w:ascii="Verdana" w:hAnsi="Verdana"/>
          <w:sz w:val="22"/>
        </w:rPr>
      </w:pPr>
      <w:r w:rsidRPr="00BB4452">
        <w:rPr>
          <w:rFonts w:ascii="Verdana" w:hAnsi="Verdana"/>
          <w:sz w:val="22"/>
        </w:rPr>
        <w:t>Mean 8 – contract manage and monitor</w:t>
      </w:r>
    </w:p>
    <w:p w:rsidR="001A41CB" w:rsidRDefault="001A41CB" w:rsidP="001A41CB">
      <w:pPr>
        <w:pStyle w:val="Corpsdetexte"/>
        <w:rPr>
          <w:rFonts w:ascii="Verdana" w:hAnsi="Verdana"/>
          <w:sz w:val="22"/>
        </w:rPr>
      </w:pPr>
      <w:r w:rsidRPr="00BB4452">
        <w:rPr>
          <w:rFonts w:ascii="Verdana" w:hAnsi="Verdana"/>
          <w:sz w:val="22"/>
        </w:rPr>
        <w:t xml:space="preserve">The final mean of practically embedding social considerations into procurement is therefore to actively contract </w:t>
      </w:r>
      <w:proofErr w:type="gramStart"/>
      <w:r w:rsidRPr="00BB4452">
        <w:rPr>
          <w:rFonts w:ascii="Verdana" w:hAnsi="Verdana"/>
          <w:sz w:val="22"/>
        </w:rPr>
        <w:t>manage</w:t>
      </w:r>
      <w:proofErr w:type="gramEnd"/>
      <w:r w:rsidRPr="00BB4452">
        <w:rPr>
          <w:rFonts w:ascii="Verdana" w:hAnsi="Verdana"/>
          <w:sz w:val="22"/>
        </w:rPr>
        <w:t xml:space="preserve"> and monitor. This can be often done through one of two ways. First, a dedicated contract manager can be assigned to each supplier with a remit to both monitor how delivery of the service or good is going and also the extent to which progress is being achieved with regard to any social clause or other means of bringing benefit. Second, cities can issue questionnaires to all suppliers on an annual basis which asks them to detail how they are contributing to a range of economic, social and environmental indicators.</w:t>
      </w:r>
    </w:p>
    <w:p w:rsidR="00F037C4" w:rsidRPr="0070758A" w:rsidRDefault="006904B5" w:rsidP="0070758A">
      <w:pPr>
        <w:pStyle w:val="Titre2"/>
        <w:rPr>
          <w:rFonts w:ascii="Verdana" w:hAnsi="Verdana"/>
        </w:rPr>
      </w:pPr>
      <w:r>
        <w:rPr>
          <w:rFonts w:ascii="Verdana" w:hAnsi="Verdana"/>
        </w:rPr>
        <w:t>Case Study 1 – Lublin (innovate for outcomes)</w:t>
      </w:r>
    </w:p>
    <w:p w:rsidR="00816640" w:rsidRDefault="00816640" w:rsidP="006904B5">
      <w:pPr>
        <w:pStyle w:val="Corpsdetexte"/>
        <w:rPr>
          <w:rFonts w:ascii="Verdana" w:hAnsi="Verdana"/>
          <w:sz w:val="22"/>
        </w:rPr>
      </w:pPr>
      <w:r>
        <w:rPr>
          <w:rFonts w:ascii="Verdana" w:hAnsi="Verdana"/>
          <w:sz w:val="22"/>
        </w:rPr>
        <w:t>The City of Lublin has been involved in previous European projects around procurement and is currently involved in a further specific project around Public Procurement of Innovation (PPI). Between 2012 and 2014, Lublin was involved in the Seventh Framework Programme funded ‘Cities for Business Innovation</w:t>
      </w:r>
      <w:r w:rsidR="00CF59DB">
        <w:rPr>
          <w:rFonts w:ascii="Verdana" w:hAnsi="Verdana"/>
          <w:sz w:val="22"/>
        </w:rPr>
        <w:t xml:space="preserve"> (C4BI)</w:t>
      </w:r>
      <w:r>
        <w:rPr>
          <w:rFonts w:ascii="Verdana" w:hAnsi="Verdana"/>
          <w:sz w:val="22"/>
        </w:rPr>
        <w:t xml:space="preserve"> – Network of Procurers’. This focused upon support</w:t>
      </w:r>
      <w:r w:rsidR="00AB2AB0">
        <w:rPr>
          <w:rFonts w:ascii="Verdana" w:hAnsi="Verdana"/>
          <w:sz w:val="22"/>
        </w:rPr>
        <w:t>ing</w:t>
      </w:r>
      <w:r>
        <w:rPr>
          <w:rFonts w:ascii="Verdana" w:hAnsi="Verdana"/>
          <w:sz w:val="22"/>
        </w:rPr>
        <w:t xml:space="preserve"> businesses in the design of goods and services which were innovative and met gaps in the market. Lublin is currently (and up until February 2019) involved in the </w:t>
      </w:r>
      <w:proofErr w:type="spellStart"/>
      <w:r>
        <w:rPr>
          <w:rFonts w:ascii="Verdana" w:hAnsi="Verdana"/>
          <w:sz w:val="22"/>
        </w:rPr>
        <w:t>Interreg</w:t>
      </w:r>
      <w:proofErr w:type="spellEnd"/>
      <w:r>
        <w:rPr>
          <w:rFonts w:ascii="Verdana" w:hAnsi="Verdana"/>
          <w:sz w:val="22"/>
        </w:rPr>
        <w:t xml:space="preserve"> Central Europe funded ‘PP12Innovate’ project which is seeking to boost usage of PPI across central Europe through capacity building activities.</w:t>
      </w:r>
    </w:p>
    <w:p w:rsidR="00CF59DB" w:rsidRDefault="00816640" w:rsidP="006904B5">
      <w:pPr>
        <w:pStyle w:val="Corpsdetexte"/>
        <w:rPr>
          <w:rFonts w:ascii="Verdana" w:hAnsi="Verdana"/>
          <w:sz w:val="22"/>
        </w:rPr>
      </w:pPr>
      <w:r>
        <w:rPr>
          <w:rFonts w:ascii="Verdana" w:hAnsi="Verdana"/>
          <w:sz w:val="22"/>
        </w:rPr>
        <w:t xml:space="preserve">The City of Lublin </w:t>
      </w:r>
      <w:proofErr w:type="gramStart"/>
      <w:r>
        <w:rPr>
          <w:rFonts w:ascii="Verdana" w:hAnsi="Verdana"/>
          <w:sz w:val="22"/>
        </w:rPr>
        <w:t>are</w:t>
      </w:r>
      <w:proofErr w:type="gramEnd"/>
      <w:r>
        <w:rPr>
          <w:rFonts w:ascii="Verdana" w:hAnsi="Verdana"/>
          <w:sz w:val="22"/>
        </w:rPr>
        <w:t xml:space="preserve"> looking to utilise both PPI and</w:t>
      </w:r>
      <w:r w:rsidR="00084FB8">
        <w:rPr>
          <w:rFonts w:ascii="Verdana" w:hAnsi="Verdana"/>
          <w:sz w:val="22"/>
        </w:rPr>
        <w:t xml:space="preserve"> Pre-Commercial Procurement (PCP</w:t>
      </w:r>
      <w:r>
        <w:rPr>
          <w:rFonts w:ascii="Verdana" w:hAnsi="Verdana"/>
          <w:sz w:val="22"/>
        </w:rPr>
        <w:t xml:space="preserve">) on a number of their upcoming tenders. They recognise the role of such processes in creating new solutions through early supplier engagement and </w:t>
      </w:r>
      <w:r w:rsidR="00CF59DB">
        <w:rPr>
          <w:rFonts w:ascii="Verdana" w:hAnsi="Verdana"/>
          <w:sz w:val="22"/>
        </w:rPr>
        <w:t xml:space="preserve">through utilising research and development; and in supporting new innovations to reach the market. </w:t>
      </w:r>
    </w:p>
    <w:p w:rsidR="00BE5777" w:rsidRDefault="00CF59DB" w:rsidP="006904B5">
      <w:pPr>
        <w:pStyle w:val="Corpsdetexte"/>
        <w:rPr>
          <w:rFonts w:ascii="Verdana" w:hAnsi="Verdana"/>
          <w:sz w:val="22"/>
        </w:rPr>
      </w:pPr>
      <w:r>
        <w:rPr>
          <w:rFonts w:ascii="Verdana" w:hAnsi="Verdana"/>
          <w:sz w:val="22"/>
        </w:rPr>
        <w:t>In the C4BI project, Lublin and 3 other partner cities used PC</w:t>
      </w:r>
      <w:r w:rsidR="00084FB8">
        <w:rPr>
          <w:rFonts w:ascii="Verdana" w:hAnsi="Verdana"/>
          <w:sz w:val="22"/>
        </w:rPr>
        <w:t>P</w:t>
      </w:r>
      <w:r>
        <w:rPr>
          <w:rFonts w:ascii="Verdana" w:hAnsi="Verdana"/>
          <w:sz w:val="22"/>
        </w:rPr>
        <w:t xml:space="preserve"> to develop new solutions for social services to address the challenge of an ageing population. The solution</w:t>
      </w:r>
      <w:r w:rsidR="00084FB8">
        <w:rPr>
          <w:rFonts w:ascii="Verdana" w:hAnsi="Verdana"/>
          <w:sz w:val="22"/>
        </w:rPr>
        <w:t xml:space="preserve"> developed by Lublin through PCP</w:t>
      </w:r>
      <w:r>
        <w:rPr>
          <w:rFonts w:ascii="Verdana" w:hAnsi="Verdana"/>
          <w:sz w:val="22"/>
        </w:rPr>
        <w:t xml:space="preserve"> with potential suppliers was a ‘panel for seniors’ – they particularly wanted to develop a product that would </w:t>
      </w:r>
      <w:r>
        <w:rPr>
          <w:rFonts w:ascii="Verdana" w:hAnsi="Verdana"/>
          <w:sz w:val="22"/>
        </w:rPr>
        <w:lastRenderedPageBreak/>
        <w:t>support older people to use computers. The product developed was a device with larger buttons than a standard keyboard, together with</w:t>
      </w:r>
      <w:r w:rsidR="00084FB8">
        <w:rPr>
          <w:rFonts w:ascii="Verdana" w:hAnsi="Verdana"/>
          <w:sz w:val="22"/>
        </w:rPr>
        <w:t xml:space="preserve"> an integrated mouse. The PCP</w:t>
      </w:r>
      <w:r>
        <w:rPr>
          <w:rFonts w:ascii="Verdana" w:hAnsi="Verdana"/>
          <w:sz w:val="22"/>
        </w:rPr>
        <w:t xml:space="preserve"> process not only supported the development of a new product, but also enabled better outcomes to be achieved for older people</w:t>
      </w:r>
      <w:r w:rsidR="00E469A0">
        <w:rPr>
          <w:rFonts w:ascii="Verdana" w:hAnsi="Verdana"/>
          <w:sz w:val="22"/>
        </w:rPr>
        <w:t xml:space="preserve"> through their use of computers;</w:t>
      </w:r>
      <w:r>
        <w:rPr>
          <w:rFonts w:ascii="Verdana" w:hAnsi="Verdana"/>
          <w:sz w:val="22"/>
        </w:rPr>
        <w:t xml:space="preserve"> </w:t>
      </w:r>
      <w:r w:rsidR="00084FB8">
        <w:rPr>
          <w:rFonts w:ascii="Verdana" w:hAnsi="Verdana"/>
          <w:sz w:val="22"/>
        </w:rPr>
        <w:t xml:space="preserve">for example, </w:t>
      </w:r>
      <w:r>
        <w:rPr>
          <w:rFonts w:ascii="Verdana" w:hAnsi="Verdana"/>
          <w:sz w:val="22"/>
        </w:rPr>
        <w:t xml:space="preserve">a reduction in social isolation. </w:t>
      </w:r>
      <w:r w:rsidR="00BE5777">
        <w:rPr>
          <w:rFonts w:ascii="Verdana" w:hAnsi="Verdana"/>
          <w:sz w:val="22"/>
        </w:rPr>
        <w:t>A pilot stage was utilised to enable various potential suppliers to demonstrate their solutions before the requirement went to market.</w:t>
      </w:r>
    </w:p>
    <w:p w:rsidR="00F22571" w:rsidRDefault="008A0281" w:rsidP="006904B5">
      <w:pPr>
        <w:pStyle w:val="Corpsdetexte"/>
        <w:rPr>
          <w:rFonts w:ascii="Verdana" w:hAnsi="Verdana"/>
          <w:sz w:val="22"/>
        </w:rPr>
      </w:pPr>
      <w:r>
        <w:rPr>
          <w:rFonts w:ascii="Verdana" w:hAnsi="Verdana"/>
          <w:sz w:val="22"/>
        </w:rPr>
        <w:t xml:space="preserve">In the PP12Innovate project, </w:t>
      </w:r>
      <w:r w:rsidR="00680636">
        <w:rPr>
          <w:rFonts w:ascii="Verdana" w:hAnsi="Verdana"/>
          <w:sz w:val="22"/>
        </w:rPr>
        <w:t>Lublin is working with 9 other partners to boost the us</w:t>
      </w:r>
      <w:r w:rsidR="00D11D45">
        <w:rPr>
          <w:rFonts w:ascii="Verdana" w:hAnsi="Verdana"/>
          <w:sz w:val="22"/>
        </w:rPr>
        <w:t xml:space="preserve">e of PPI across Central Europe. The project is seeking to address three main problems or challenges around PPI which are </w:t>
      </w:r>
      <w:r w:rsidR="004254E0">
        <w:rPr>
          <w:rFonts w:ascii="Verdana" w:hAnsi="Verdana"/>
          <w:sz w:val="22"/>
        </w:rPr>
        <w:t xml:space="preserve">the </w:t>
      </w:r>
      <w:r w:rsidR="00D11D45">
        <w:rPr>
          <w:rFonts w:ascii="Verdana" w:hAnsi="Verdana"/>
          <w:sz w:val="22"/>
        </w:rPr>
        <w:t xml:space="preserve">lack of </w:t>
      </w:r>
      <w:r w:rsidR="004254E0">
        <w:rPr>
          <w:rFonts w:ascii="Verdana" w:hAnsi="Verdana"/>
          <w:sz w:val="22"/>
        </w:rPr>
        <w:t xml:space="preserve">knowledge of public procurers of PPI; the lack of awareness and interest regarding the PPI paradigm; and the lack of long-term cooperation practice between public and private actors. They are seeking to overcome these problems through creating a tool which will be customised into national frameworks and which will cover the design phase of PPI projects. The tool has a specific focus on services and solutions associated with energy, health and ICT. </w:t>
      </w:r>
      <w:r w:rsidR="00F22571">
        <w:rPr>
          <w:rFonts w:ascii="Verdana" w:hAnsi="Verdana"/>
          <w:sz w:val="22"/>
        </w:rPr>
        <w:t>The tool is accompanied by three further activities around the development of:</w:t>
      </w:r>
    </w:p>
    <w:p w:rsidR="00F22571" w:rsidRDefault="00F22571" w:rsidP="00F22571">
      <w:pPr>
        <w:pStyle w:val="Listepuces"/>
        <w:rPr>
          <w:rFonts w:ascii="Verdana" w:hAnsi="Verdana"/>
          <w:sz w:val="22"/>
        </w:rPr>
      </w:pPr>
      <w:r>
        <w:rPr>
          <w:rFonts w:ascii="Verdana" w:hAnsi="Verdana"/>
          <w:sz w:val="22"/>
        </w:rPr>
        <w:t xml:space="preserve">Six competence centres, whereby each partner </w:t>
      </w:r>
      <w:r w:rsidR="009D78B6">
        <w:rPr>
          <w:rFonts w:ascii="Verdana" w:hAnsi="Verdana"/>
          <w:sz w:val="22"/>
        </w:rPr>
        <w:t>identifies potential PPI projects and formulates implementation plans;</w:t>
      </w:r>
    </w:p>
    <w:p w:rsidR="009D78B6" w:rsidRDefault="009D78B6" w:rsidP="00F22571">
      <w:pPr>
        <w:pStyle w:val="Listepuces"/>
        <w:rPr>
          <w:rFonts w:ascii="Verdana" w:hAnsi="Verdana"/>
          <w:sz w:val="22"/>
        </w:rPr>
      </w:pPr>
      <w:r>
        <w:rPr>
          <w:rFonts w:ascii="Verdana" w:hAnsi="Verdana"/>
          <w:sz w:val="22"/>
        </w:rPr>
        <w:t>Four PPI pilots in three thematic areas and at different geographies;</w:t>
      </w:r>
    </w:p>
    <w:p w:rsidR="009D78B6" w:rsidRDefault="009D78B6" w:rsidP="00F22571">
      <w:pPr>
        <w:pStyle w:val="Listepuces"/>
        <w:rPr>
          <w:rFonts w:ascii="Verdana" w:hAnsi="Verdana"/>
          <w:sz w:val="22"/>
        </w:rPr>
      </w:pPr>
      <w:r>
        <w:rPr>
          <w:rFonts w:ascii="Verdana" w:hAnsi="Verdana"/>
          <w:sz w:val="22"/>
        </w:rPr>
        <w:t>Eighteen regional training sessions targeting public procurers.</w:t>
      </w:r>
    </w:p>
    <w:p w:rsidR="009D78B6" w:rsidRDefault="009D78B6" w:rsidP="009D78B6">
      <w:pPr>
        <w:pStyle w:val="Listepuces"/>
        <w:numPr>
          <w:ilvl w:val="0"/>
          <w:numId w:val="0"/>
        </w:numPr>
        <w:ind w:left="1304" w:hanging="584"/>
        <w:rPr>
          <w:rFonts w:ascii="Verdana" w:hAnsi="Verdana"/>
          <w:sz w:val="22"/>
        </w:rPr>
      </w:pPr>
    </w:p>
    <w:p w:rsidR="009D78B6" w:rsidRDefault="009D78B6" w:rsidP="00797C3F">
      <w:pPr>
        <w:pStyle w:val="Listepuces"/>
        <w:numPr>
          <w:ilvl w:val="0"/>
          <w:numId w:val="0"/>
        </w:numPr>
        <w:ind w:left="709" w:firstLine="11"/>
        <w:rPr>
          <w:rFonts w:ascii="Verdana" w:hAnsi="Verdana"/>
          <w:sz w:val="22"/>
        </w:rPr>
      </w:pPr>
      <w:r>
        <w:rPr>
          <w:rFonts w:ascii="Verdana" w:hAnsi="Verdana"/>
          <w:sz w:val="22"/>
        </w:rPr>
        <w:t xml:space="preserve">The concept </w:t>
      </w:r>
      <w:r w:rsidR="00797C3F">
        <w:rPr>
          <w:rFonts w:ascii="Verdana" w:hAnsi="Verdana"/>
          <w:sz w:val="22"/>
        </w:rPr>
        <w:t>of PPI remains relative</w:t>
      </w:r>
      <w:r w:rsidR="00E469A0">
        <w:rPr>
          <w:rFonts w:ascii="Verdana" w:hAnsi="Verdana"/>
          <w:sz w:val="22"/>
        </w:rPr>
        <w:t>ly</w:t>
      </w:r>
      <w:r w:rsidR="00797C3F">
        <w:rPr>
          <w:rFonts w:ascii="Verdana" w:hAnsi="Verdana"/>
          <w:sz w:val="22"/>
        </w:rPr>
        <w:t xml:space="preserve"> novel across Europe and Lublin’s involvement in a specific network is important from the Procure Network’s perspective as we seek to develop action plans focused upon progressing procurement policy and practice. </w:t>
      </w:r>
    </w:p>
    <w:p w:rsidR="00797C3F" w:rsidRDefault="00797C3F" w:rsidP="00797C3F">
      <w:pPr>
        <w:pStyle w:val="Listepuces"/>
        <w:numPr>
          <w:ilvl w:val="0"/>
          <w:numId w:val="0"/>
        </w:numPr>
        <w:ind w:left="709" w:firstLine="11"/>
        <w:rPr>
          <w:rFonts w:ascii="Verdana" w:hAnsi="Verdana"/>
          <w:sz w:val="22"/>
        </w:rPr>
      </w:pPr>
    </w:p>
    <w:p w:rsidR="006904B5" w:rsidRPr="0070758A" w:rsidRDefault="006904B5" w:rsidP="006904B5">
      <w:pPr>
        <w:pStyle w:val="Titre2"/>
        <w:rPr>
          <w:rFonts w:ascii="Verdana" w:hAnsi="Verdana"/>
        </w:rPr>
      </w:pPr>
      <w:r>
        <w:rPr>
          <w:rFonts w:ascii="Verdana" w:hAnsi="Verdana"/>
        </w:rPr>
        <w:t>Case Study 2 – Candelaria (link design to wider issues)</w:t>
      </w:r>
    </w:p>
    <w:p w:rsidR="00BE08BD" w:rsidRDefault="00DA67C3" w:rsidP="006904B5">
      <w:pPr>
        <w:pStyle w:val="Corpsdetexte"/>
        <w:rPr>
          <w:rFonts w:ascii="Verdana" w:hAnsi="Verdana"/>
          <w:sz w:val="22"/>
        </w:rPr>
      </w:pPr>
      <w:r>
        <w:rPr>
          <w:rFonts w:ascii="Verdana" w:hAnsi="Verdana"/>
          <w:sz w:val="22"/>
        </w:rPr>
        <w:t xml:space="preserve">The City of Candelaria has been seeking to engage its residents in procurement processes for a number of years. The purpose of this co-produced approach is to ensure that the design of goods and services is relevant to the needs of communities. </w:t>
      </w:r>
      <w:r w:rsidR="00BE08BD">
        <w:rPr>
          <w:rFonts w:ascii="Verdana" w:hAnsi="Verdana"/>
          <w:sz w:val="22"/>
        </w:rPr>
        <w:t>Residents are engaged through five community panels, which are representative of</w:t>
      </w:r>
      <w:r w:rsidR="00E469A0">
        <w:rPr>
          <w:rFonts w:ascii="Verdana" w:hAnsi="Verdana"/>
          <w:sz w:val="22"/>
        </w:rPr>
        <w:t xml:space="preserve"> the five villages which</w:t>
      </w:r>
      <w:r w:rsidR="00BE08BD">
        <w:rPr>
          <w:rFonts w:ascii="Verdana" w:hAnsi="Verdana"/>
          <w:sz w:val="22"/>
        </w:rPr>
        <w:t xml:space="preserve"> form the City of Candelaria</w:t>
      </w:r>
      <w:r w:rsidR="00084FB8">
        <w:rPr>
          <w:rFonts w:ascii="Verdana" w:hAnsi="Verdana"/>
          <w:sz w:val="22"/>
        </w:rPr>
        <w:t>.</w:t>
      </w:r>
      <w:r w:rsidR="00BE08BD">
        <w:rPr>
          <w:rFonts w:ascii="Verdana" w:hAnsi="Verdana"/>
          <w:sz w:val="22"/>
        </w:rPr>
        <w:t xml:space="preserve"> </w:t>
      </w:r>
      <w:r w:rsidR="00084FB8">
        <w:rPr>
          <w:rFonts w:ascii="Verdana" w:hAnsi="Verdana"/>
          <w:sz w:val="22"/>
        </w:rPr>
        <w:t>This</w:t>
      </w:r>
      <w:r w:rsidR="00BE08BD">
        <w:rPr>
          <w:rFonts w:ascii="Verdana" w:hAnsi="Verdana"/>
          <w:sz w:val="22"/>
        </w:rPr>
        <w:t xml:space="preserve"> approach</w:t>
      </w:r>
      <w:r w:rsidR="00084FB8">
        <w:rPr>
          <w:rFonts w:ascii="Verdana" w:hAnsi="Verdana"/>
          <w:sz w:val="22"/>
        </w:rPr>
        <w:t xml:space="preserve"> is</w:t>
      </w:r>
      <w:r w:rsidR="00BE08BD">
        <w:rPr>
          <w:rFonts w:ascii="Verdana" w:hAnsi="Verdana"/>
          <w:sz w:val="22"/>
        </w:rPr>
        <w:t xml:space="preserve"> also accompanied by a budget which the community panels in coordination with the municipality of Candelaria have responsibility for spending.</w:t>
      </w:r>
    </w:p>
    <w:p w:rsidR="00DD6CDF" w:rsidRDefault="00BE08BD" w:rsidP="006904B5">
      <w:pPr>
        <w:pStyle w:val="Corpsdetexte"/>
        <w:rPr>
          <w:rFonts w:ascii="Verdana" w:hAnsi="Verdana"/>
          <w:sz w:val="22"/>
        </w:rPr>
      </w:pPr>
      <w:r>
        <w:rPr>
          <w:rFonts w:ascii="Verdana" w:hAnsi="Verdana"/>
          <w:sz w:val="22"/>
        </w:rPr>
        <w:t xml:space="preserve">The community panels are </w:t>
      </w:r>
      <w:r w:rsidR="00084FB8">
        <w:rPr>
          <w:rFonts w:ascii="Verdana" w:hAnsi="Verdana"/>
          <w:sz w:val="22"/>
        </w:rPr>
        <w:t>made up of stakeholders and include</w:t>
      </w:r>
      <w:r>
        <w:rPr>
          <w:rFonts w:ascii="Verdana" w:hAnsi="Verdana"/>
          <w:sz w:val="22"/>
        </w:rPr>
        <w:t xml:space="preserve"> individuals, community groups, the Municipality of Candelaria, councillors, associations with a focus on health and housing for example, and the local business community.</w:t>
      </w:r>
      <w:r w:rsidR="00084FB8">
        <w:rPr>
          <w:rFonts w:ascii="Verdana" w:hAnsi="Verdana"/>
          <w:sz w:val="22"/>
        </w:rPr>
        <w:t xml:space="preserve"> D</w:t>
      </w:r>
      <w:r w:rsidR="00DD6CDF">
        <w:rPr>
          <w:rFonts w:ascii="Verdana" w:hAnsi="Verdana"/>
          <w:sz w:val="22"/>
        </w:rPr>
        <w:t>iversity of the Candelaria population</w:t>
      </w:r>
      <w:r w:rsidR="00084FB8">
        <w:rPr>
          <w:rFonts w:ascii="Verdana" w:hAnsi="Verdana"/>
          <w:sz w:val="22"/>
        </w:rPr>
        <w:t xml:space="preserve"> is ensured through</w:t>
      </w:r>
      <w:r w:rsidR="00DD6CDF">
        <w:rPr>
          <w:rFonts w:ascii="Verdana" w:hAnsi="Verdana"/>
          <w:sz w:val="22"/>
        </w:rPr>
        <w:t xml:space="preserve"> including young people and older people.</w:t>
      </w:r>
      <w:r>
        <w:rPr>
          <w:rFonts w:ascii="Verdana" w:hAnsi="Verdana"/>
          <w:sz w:val="22"/>
        </w:rPr>
        <w:t xml:space="preserve"> The panels discuss the challenges facing</w:t>
      </w:r>
      <w:r w:rsidR="00DD6CDF">
        <w:rPr>
          <w:rFonts w:ascii="Verdana" w:hAnsi="Verdana"/>
          <w:sz w:val="22"/>
        </w:rPr>
        <w:t xml:space="preserve"> Candelaria which in recent years has been </w:t>
      </w:r>
      <w:r w:rsidR="00084FB8">
        <w:rPr>
          <w:rFonts w:ascii="Verdana" w:hAnsi="Verdana"/>
          <w:sz w:val="22"/>
        </w:rPr>
        <w:t xml:space="preserve">particularly focused </w:t>
      </w:r>
      <w:r w:rsidR="00DD6CDF">
        <w:rPr>
          <w:rFonts w:ascii="Verdana" w:hAnsi="Verdana"/>
          <w:sz w:val="22"/>
        </w:rPr>
        <w:t xml:space="preserve">around the provision of community centres and seek to develop ideas for what the participatory budget can be spent upon. It is then left with technical officers at the Municipality of Candelaria to draw up specifications. </w:t>
      </w:r>
    </w:p>
    <w:p w:rsidR="006904B5" w:rsidRDefault="008F37C9" w:rsidP="006904B5">
      <w:pPr>
        <w:pStyle w:val="Corpsdetexte"/>
        <w:rPr>
          <w:rFonts w:ascii="Verdana" w:hAnsi="Verdana"/>
          <w:sz w:val="22"/>
        </w:rPr>
      </w:pPr>
      <w:r>
        <w:rPr>
          <w:rFonts w:ascii="Verdana" w:hAnsi="Verdana"/>
          <w:sz w:val="22"/>
        </w:rPr>
        <w:t>In 2014, the focus was upon community spaces with 300,000</w:t>
      </w:r>
      <w:r w:rsidR="00532D1B">
        <w:rPr>
          <w:rFonts w:ascii="Verdana" w:hAnsi="Verdana"/>
          <w:sz w:val="22"/>
        </w:rPr>
        <w:t xml:space="preserve"> euros</w:t>
      </w:r>
      <w:r>
        <w:rPr>
          <w:rFonts w:ascii="Verdana" w:hAnsi="Verdana"/>
          <w:sz w:val="22"/>
        </w:rPr>
        <w:t xml:space="preserve"> spent on the design and implementation of such spaces. In </w:t>
      </w:r>
      <w:r w:rsidR="00084FB8">
        <w:rPr>
          <w:rFonts w:ascii="Verdana" w:hAnsi="Verdana"/>
          <w:sz w:val="22"/>
        </w:rPr>
        <w:t>2015, the focus was more on</w:t>
      </w:r>
      <w:r w:rsidR="00532D1B">
        <w:rPr>
          <w:rFonts w:ascii="Verdana" w:hAnsi="Verdana"/>
          <w:sz w:val="22"/>
        </w:rPr>
        <w:t xml:space="preserve"> identifying ideas for activities to include in budgets associated with bidding for and implementing European projects. In 2016, the focus was upon new physical investment schemes and equipment, with an associated budget of 350,000 euros. </w:t>
      </w:r>
      <w:r w:rsidR="00BE08BD">
        <w:rPr>
          <w:rFonts w:ascii="Verdana" w:hAnsi="Verdana"/>
          <w:sz w:val="22"/>
        </w:rPr>
        <w:t xml:space="preserve"> </w:t>
      </w:r>
      <w:r w:rsidR="006904B5" w:rsidRPr="00321A43">
        <w:rPr>
          <w:rFonts w:ascii="Verdana" w:hAnsi="Verdana"/>
          <w:sz w:val="22"/>
        </w:rPr>
        <w:t xml:space="preserve"> </w:t>
      </w:r>
    </w:p>
    <w:p w:rsidR="006904B5" w:rsidRPr="0070758A" w:rsidRDefault="006904B5" w:rsidP="006904B5">
      <w:pPr>
        <w:pStyle w:val="Titre2"/>
        <w:rPr>
          <w:rFonts w:ascii="Verdana" w:hAnsi="Verdana"/>
        </w:rPr>
      </w:pPr>
      <w:r>
        <w:rPr>
          <w:rFonts w:ascii="Verdana" w:hAnsi="Verdana"/>
        </w:rPr>
        <w:lastRenderedPageBreak/>
        <w:t>Case Study 3 – Almelo</w:t>
      </w:r>
      <w:r w:rsidR="00E22C09">
        <w:rPr>
          <w:rFonts w:ascii="Verdana" w:hAnsi="Verdana"/>
        </w:rPr>
        <w:t xml:space="preserve"> (link procurement to wider priorities</w:t>
      </w:r>
      <w:r>
        <w:rPr>
          <w:rFonts w:ascii="Verdana" w:hAnsi="Verdana"/>
        </w:rPr>
        <w:t>)</w:t>
      </w:r>
    </w:p>
    <w:p w:rsidR="00CC1702" w:rsidRDefault="00532D1B" w:rsidP="006904B5">
      <w:pPr>
        <w:pStyle w:val="Corpsdetexte"/>
        <w:rPr>
          <w:rFonts w:ascii="Verdana" w:hAnsi="Verdana"/>
          <w:sz w:val="22"/>
        </w:rPr>
      </w:pPr>
      <w:r>
        <w:rPr>
          <w:rFonts w:ascii="Verdana" w:hAnsi="Verdana"/>
          <w:sz w:val="22"/>
        </w:rPr>
        <w:t>The City of Almelo is utilising the URBACT Programme</w:t>
      </w:r>
      <w:r w:rsidR="00CC1702">
        <w:rPr>
          <w:rFonts w:ascii="Verdana" w:hAnsi="Verdana"/>
          <w:sz w:val="22"/>
        </w:rPr>
        <w:t xml:space="preserve"> and the Procure Network</w:t>
      </w:r>
      <w:r>
        <w:rPr>
          <w:rFonts w:ascii="Verdana" w:hAnsi="Verdana"/>
          <w:sz w:val="22"/>
        </w:rPr>
        <w:t xml:space="preserve"> and the development of the associated action plan </w:t>
      </w:r>
      <w:r w:rsidR="004714AA">
        <w:rPr>
          <w:rFonts w:ascii="Verdana" w:hAnsi="Verdana"/>
          <w:sz w:val="22"/>
        </w:rPr>
        <w:t>to develop innovation partnerships through which procurement processes will be channelled. The purpose of the innovation partnership</w:t>
      </w:r>
      <w:r w:rsidR="00E469A0">
        <w:rPr>
          <w:rFonts w:ascii="Verdana" w:hAnsi="Verdana"/>
          <w:sz w:val="22"/>
        </w:rPr>
        <w:t>s</w:t>
      </w:r>
      <w:r w:rsidR="004714AA">
        <w:rPr>
          <w:rFonts w:ascii="Verdana" w:hAnsi="Verdana"/>
          <w:sz w:val="22"/>
        </w:rPr>
        <w:t xml:space="preserve"> is to draw together procurers to cooperate on common issues they may face such as building environmental sustainability. Members of the partnership invite suitable regional level building and maintenance companies together with a view to creating</w:t>
      </w:r>
      <w:r w:rsidR="00E469A0">
        <w:rPr>
          <w:rFonts w:ascii="Verdana" w:hAnsi="Verdana"/>
          <w:sz w:val="22"/>
        </w:rPr>
        <w:t>,</w:t>
      </w:r>
      <w:r w:rsidR="004714AA">
        <w:rPr>
          <w:rFonts w:ascii="Verdana" w:hAnsi="Verdana"/>
          <w:sz w:val="22"/>
        </w:rPr>
        <w:t xml:space="preserve"> through dialogue sessions</w:t>
      </w:r>
      <w:r w:rsidR="00E469A0">
        <w:rPr>
          <w:rFonts w:ascii="Verdana" w:hAnsi="Verdana"/>
          <w:sz w:val="22"/>
        </w:rPr>
        <w:t>,</w:t>
      </w:r>
      <w:r w:rsidR="004714AA">
        <w:rPr>
          <w:rFonts w:ascii="Verdana" w:hAnsi="Verdana"/>
          <w:sz w:val="22"/>
        </w:rPr>
        <w:t xml:space="preserve"> </w:t>
      </w:r>
      <w:r w:rsidR="00CC1702">
        <w:rPr>
          <w:rFonts w:ascii="Verdana" w:hAnsi="Verdana"/>
          <w:sz w:val="22"/>
        </w:rPr>
        <w:t xml:space="preserve">pilot </w:t>
      </w:r>
      <w:r w:rsidR="004714AA">
        <w:rPr>
          <w:rFonts w:ascii="Verdana" w:hAnsi="Verdana"/>
          <w:sz w:val="22"/>
        </w:rPr>
        <w:t xml:space="preserve">innovative solutions and </w:t>
      </w:r>
      <w:r w:rsidR="00CC1702">
        <w:rPr>
          <w:rFonts w:ascii="Verdana" w:hAnsi="Verdana"/>
          <w:sz w:val="22"/>
        </w:rPr>
        <w:t xml:space="preserve">consortia of organisations capable of providing the service in the longer term. </w:t>
      </w:r>
    </w:p>
    <w:p w:rsidR="00150538" w:rsidRDefault="00CC1702" w:rsidP="006904B5">
      <w:pPr>
        <w:pStyle w:val="Corpsdetexte"/>
        <w:rPr>
          <w:rFonts w:ascii="Verdana" w:hAnsi="Verdana"/>
          <w:sz w:val="22"/>
        </w:rPr>
      </w:pPr>
      <w:r>
        <w:rPr>
          <w:rFonts w:ascii="Verdana" w:hAnsi="Verdana"/>
          <w:sz w:val="22"/>
        </w:rPr>
        <w:t>The innovation partnership seeks to reduce some of the bureaucracy of the traditional procurement process by placing the basic requirements of what the partners are after on one page. It seeks to make the procurement more focused upon solutions by having a common objective, which is ‘</w:t>
      </w:r>
      <w:r w:rsidR="00084FB8">
        <w:rPr>
          <w:rFonts w:ascii="Verdana" w:hAnsi="Verdana"/>
          <w:sz w:val="22"/>
        </w:rPr>
        <w:t xml:space="preserve">to ensure that </w:t>
      </w:r>
      <w:r>
        <w:rPr>
          <w:rFonts w:ascii="Verdana" w:hAnsi="Verdana"/>
          <w:sz w:val="22"/>
        </w:rPr>
        <w:t>all public buildings</w:t>
      </w:r>
      <w:r w:rsidR="00084FB8">
        <w:rPr>
          <w:rFonts w:ascii="Verdana" w:hAnsi="Verdana"/>
          <w:sz w:val="22"/>
        </w:rPr>
        <w:t xml:space="preserve"> have the maximum sustainability</w:t>
      </w:r>
      <w:r>
        <w:rPr>
          <w:rFonts w:ascii="Verdana" w:hAnsi="Verdana"/>
          <w:sz w:val="22"/>
        </w:rPr>
        <w:t xml:space="preserve">’ rather than having a defined and common product. It </w:t>
      </w:r>
      <w:r w:rsidR="00084FB8">
        <w:rPr>
          <w:rFonts w:ascii="Verdana" w:hAnsi="Verdana"/>
          <w:sz w:val="22"/>
        </w:rPr>
        <w:t xml:space="preserve">also </w:t>
      </w:r>
      <w:r>
        <w:rPr>
          <w:rFonts w:ascii="Verdana" w:hAnsi="Verdana"/>
          <w:sz w:val="22"/>
        </w:rPr>
        <w:t>seeks to ensure that a diverse set of organisations are made aware of the opportunity through undertaking engagement with regional level businesses</w:t>
      </w:r>
      <w:r w:rsidR="00084FB8">
        <w:rPr>
          <w:rFonts w:ascii="Verdana" w:hAnsi="Verdana"/>
          <w:sz w:val="22"/>
        </w:rPr>
        <w:t xml:space="preserve"> a</w:t>
      </w:r>
      <w:r>
        <w:rPr>
          <w:rFonts w:ascii="Verdana" w:hAnsi="Verdana"/>
          <w:sz w:val="22"/>
        </w:rPr>
        <w:t xml:space="preserve">nd that the solution is driven by the </w:t>
      </w:r>
      <w:r w:rsidR="00150538">
        <w:rPr>
          <w:rFonts w:ascii="Verdana" w:hAnsi="Verdana"/>
          <w:sz w:val="22"/>
        </w:rPr>
        <w:t>market through dialogue sessions.</w:t>
      </w:r>
    </w:p>
    <w:p w:rsidR="001B16FF" w:rsidRDefault="00150538" w:rsidP="006904B5">
      <w:pPr>
        <w:pStyle w:val="Corpsdetexte"/>
        <w:rPr>
          <w:rFonts w:ascii="Verdana" w:hAnsi="Verdana"/>
          <w:sz w:val="22"/>
        </w:rPr>
      </w:pPr>
      <w:r>
        <w:rPr>
          <w:rFonts w:ascii="Verdana" w:hAnsi="Verdana"/>
          <w:sz w:val="22"/>
        </w:rPr>
        <w:t xml:space="preserve">The process in Almelo is framed by three key principles. First, </w:t>
      </w:r>
      <w:r w:rsidR="0066097C">
        <w:rPr>
          <w:rFonts w:ascii="Verdana" w:hAnsi="Verdana"/>
          <w:sz w:val="22"/>
        </w:rPr>
        <w:t>engage at an</w:t>
      </w:r>
      <w:r>
        <w:rPr>
          <w:rFonts w:ascii="Verdana" w:hAnsi="Verdana"/>
          <w:sz w:val="22"/>
        </w:rPr>
        <w:t xml:space="preserve"> early </w:t>
      </w:r>
      <w:r w:rsidR="0066097C">
        <w:rPr>
          <w:rFonts w:ascii="Verdana" w:hAnsi="Verdana"/>
          <w:sz w:val="22"/>
        </w:rPr>
        <w:t>stage</w:t>
      </w:r>
      <w:r>
        <w:rPr>
          <w:rFonts w:ascii="Verdana" w:hAnsi="Verdana"/>
          <w:sz w:val="22"/>
        </w:rPr>
        <w:t xml:space="preserve"> with businesses in relation to the innovation partnership. Second, establish the innovation partnership to develop the pilot project and the specifications. Third, try to organise it in a circular way so that commissioning and design leads into procurement and subsequently monitoring and delivery. </w:t>
      </w:r>
      <w:r w:rsidR="001B16FF">
        <w:rPr>
          <w:rFonts w:ascii="Verdana" w:hAnsi="Verdana"/>
          <w:sz w:val="22"/>
        </w:rPr>
        <w:t>The City of Almelo and partners are utilising the URBACT action planning process to realise a number of other ideas and objectives, including:</w:t>
      </w:r>
    </w:p>
    <w:p w:rsidR="001B16FF" w:rsidRPr="0041036D" w:rsidRDefault="001B16FF" w:rsidP="001B16FF">
      <w:pPr>
        <w:pStyle w:val="FirstBullet"/>
        <w:rPr>
          <w:rFonts w:ascii="Verdana" w:hAnsi="Verdana"/>
          <w:sz w:val="22"/>
        </w:rPr>
      </w:pPr>
      <w:r w:rsidRPr="0041036D">
        <w:rPr>
          <w:rFonts w:ascii="Verdana" w:hAnsi="Verdana"/>
          <w:sz w:val="22"/>
        </w:rPr>
        <w:t>A</w:t>
      </w:r>
      <w:r w:rsidR="0066097C">
        <w:rPr>
          <w:rFonts w:ascii="Verdana" w:hAnsi="Verdana"/>
          <w:sz w:val="22"/>
        </w:rPr>
        <w:t>n</w:t>
      </w:r>
      <w:r w:rsidRPr="0041036D">
        <w:rPr>
          <w:rFonts w:ascii="Verdana" w:hAnsi="Verdana"/>
          <w:sz w:val="22"/>
        </w:rPr>
        <w:t xml:space="preserve"> energy neutral neighbourhood;</w:t>
      </w:r>
    </w:p>
    <w:p w:rsidR="001B16FF" w:rsidRPr="0041036D" w:rsidRDefault="001B16FF" w:rsidP="001B16FF">
      <w:pPr>
        <w:pStyle w:val="Listepuces"/>
        <w:rPr>
          <w:rFonts w:ascii="Verdana" w:hAnsi="Verdana"/>
          <w:sz w:val="22"/>
        </w:rPr>
      </w:pPr>
      <w:r w:rsidRPr="0041036D">
        <w:rPr>
          <w:rFonts w:ascii="Verdana" w:hAnsi="Verdana"/>
          <w:sz w:val="22"/>
        </w:rPr>
        <w:t>A project around the maintenance of public water;</w:t>
      </w:r>
    </w:p>
    <w:p w:rsidR="001B16FF" w:rsidRPr="0041036D" w:rsidRDefault="001B16FF" w:rsidP="001B16FF">
      <w:pPr>
        <w:pStyle w:val="Listepuces"/>
        <w:rPr>
          <w:rFonts w:ascii="Verdana" w:hAnsi="Verdana"/>
          <w:sz w:val="22"/>
        </w:rPr>
      </w:pPr>
      <w:r w:rsidRPr="0041036D">
        <w:rPr>
          <w:rFonts w:ascii="Verdana" w:hAnsi="Verdana"/>
          <w:sz w:val="22"/>
        </w:rPr>
        <w:t>A city craft centre;</w:t>
      </w:r>
    </w:p>
    <w:p w:rsidR="001B16FF" w:rsidRPr="0041036D" w:rsidRDefault="001B16FF" w:rsidP="001B16FF">
      <w:pPr>
        <w:pStyle w:val="Listepuces"/>
        <w:rPr>
          <w:rFonts w:ascii="Verdana" w:hAnsi="Verdana"/>
          <w:sz w:val="22"/>
        </w:rPr>
      </w:pPr>
      <w:r w:rsidRPr="0041036D">
        <w:rPr>
          <w:rFonts w:ascii="Verdana" w:hAnsi="Verdana"/>
          <w:sz w:val="22"/>
        </w:rPr>
        <w:t>An Almelo Pass or currency;</w:t>
      </w:r>
    </w:p>
    <w:p w:rsidR="006904B5" w:rsidRPr="0041036D" w:rsidRDefault="001B16FF" w:rsidP="001B16FF">
      <w:pPr>
        <w:pStyle w:val="Listepuces"/>
        <w:rPr>
          <w:rFonts w:ascii="Verdana" w:hAnsi="Verdana"/>
          <w:sz w:val="22"/>
        </w:rPr>
      </w:pPr>
      <w:r w:rsidRPr="0041036D">
        <w:rPr>
          <w:rFonts w:ascii="Verdana" w:hAnsi="Verdana"/>
          <w:sz w:val="22"/>
        </w:rPr>
        <w:t xml:space="preserve">An urban farm and fishery. </w:t>
      </w:r>
      <w:r w:rsidR="00CC1702" w:rsidRPr="0041036D">
        <w:rPr>
          <w:rFonts w:ascii="Verdana" w:hAnsi="Verdana"/>
          <w:sz w:val="22"/>
        </w:rPr>
        <w:t xml:space="preserve">  </w:t>
      </w:r>
      <w:r w:rsidR="004714AA" w:rsidRPr="0041036D">
        <w:rPr>
          <w:rFonts w:ascii="Verdana" w:hAnsi="Verdana"/>
          <w:sz w:val="22"/>
        </w:rPr>
        <w:t xml:space="preserve"> </w:t>
      </w:r>
    </w:p>
    <w:p w:rsidR="006904B5" w:rsidRDefault="006904B5" w:rsidP="006904B5">
      <w:pPr>
        <w:pStyle w:val="Corpsdetexte"/>
        <w:rPr>
          <w:rFonts w:ascii="Verdana" w:hAnsi="Verdana"/>
          <w:sz w:val="22"/>
        </w:rPr>
      </w:pPr>
    </w:p>
    <w:p w:rsidR="006904B5" w:rsidRDefault="006904B5" w:rsidP="006904B5">
      <w:pPr>
        <w:pStyle w:val="Corpsdetexte"/>
        <w:rPr>
          <w:rFonts w:ascii="Verdana" w:hAnsi="Verdana"/>
          <w:sz w:val="22"/>
        </w:rPr>
      </w:pPr>
    </w:p>
    <w:sectPr w:rsidR="006904B5" w:rsidSect="00D159FD">
      <w:headerReference w:type="default" r:id="rId18"/>
      <w:footerReference w:type="default" r:id="rId19"/>
      <w:pgSz w:w="11907" w:h="16839" w:code="9"/>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FAD" w:rsidRDefault="00E66FAD" w:rsidP="003576EE">
      <w:r>
        <w:separator/>
      </w:r>
    </w:p>
  </w:endnote>
  <w:endnote w:type="continuationSeparator" w:id="0">
    <w:p w:rsidR="00E66FAD" w:rsidRDefault="00E66FAD" w:rsidP="00357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00"/>
    <w:family w:val="auto"/>
    <w:pitch w:val="default"/>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B0" w:rsidRDefault="009766B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B0" w:rsidRDefault="009766B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B0" w:rsidRDefault="009766B0">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B0" w:rsidRPr="00242101" w:rsidRDefault="009766B0" w:rsidP="0024210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FAD" w:rsidRDefault="00E66FAD" w:rsidP="003576EE">
      <w:r>
        <w:separator/>
      </w:r>
    </w:p>
  </w:footnote>
  <w:footnote w:type="continuationSeparator" w:id="0">
    <w:p w:rsidR="00E66FAD" w:rsidRDefault="00E66FAD" w:rsidP="003576EE">
      <w:r>
        <w:continuationSeparator/>
      </w:r>
    </w:p>
  </w:footnote>
  <w:footnote w:id="1">
    <w:p w:rsidR="001A41CB" w:rsidRDefault="001A41CB" w:rsidP="001A41CB">
      <w:pPr>
        <w:pStyle w:val="Notedebasdepage"/>
      </w:pPr>
      <w:r>
        <w:rPr>
          <w:rStyle w:val="Appelnotedebasdep"/>
        </w:rPr>
        <w:footnoteRef/>
      </w:r>
      <w:r>
        <w:t xml:space="preserve"> </w:t>
      </w:r>
      <w:hyperlink r:id="rId1" w:history="1">
        <w:r w:rsidRPr="00C040CC">
          <w:rPr>
            <w:rStyle w:val="Lienhypertexte"/>
          </w:rPr>
          <w:t>https://en.wikipedia.org/wiki/Albacete</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B0" w:rsidRDefault="009766B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margin" w:tblpY="1135"/>
      <w:tblOverlap w:val="never"/>
      <w:tblW w:w="2268" w:type="dxa"/>
      <w:tblLayout w:type="fixed"/>
      <w:tblCellMar>
        <w:left w:w="0" w:type="dxa"/>
        <w:right w:w="0" w:type="dxa"/>
      </w:tblCellMar>
      <w:tblLook w:val="04A0" w:firstRow="1" w:lastRow="0" w:firstColumn="1" w:lastColumn="0" w:noHBand="0" w:noVBand="1"/>
    </w:tblPr>
    <w:tblGrid>
      <w:gridCol w:w="2268"/>
    </w:tblGrid>
    <w:tr w:rsidR="009766B0" w:rsidTr="00216CF0">
      <w:trPr>
        <w:trHeight w:hRule="exact" w:val="2268"/>
      </w:trPr>
      <w:tc>
        <w:tcPr>
          <w:tcW w:w="2268" w:type="dxa"/>
        </w:tcPr>
        <w:p w:rsidR="009766B0" w:rsidRDefault="009766B0" w:rsidP="00AE4B3D"/>
        <w:p w:rsidR="009766B0" w:rsidRPr="001549AD" w:rsidRDefault="009766B0" w:rsidP="001549AD"/>
        <w:p w:rsidR="009766B0" w:rsidRDefault="009766B0" w:rsidP="001549AD"/>
        <w:p w:rsidR="009766B0" w:rsidRPr="001549AD" w:rsidRDefault="009766B0" w:rsidP="001549AD">
          <w:pPr>
            <w:jc w:val="center"/>
          </w:pPr>
        </w:p>
      </w:tc>
    </w:tr>
  </w:tbl>
  <w:p w:rsidR="009766B0" w:rsidRDefault="009766B0" w:rsidP="009F070B">
    <w:r>
      <w:rPr>
        <w:noProof/>
        <w:lang w:val="fr-FR" w:eastAsia="fr-FR"/>
      </w:rPr>
      <w:drawing>
        <wp:inline distT="0" distB="0" distL="0" distR="0">
          <wp:extent cx="3740643" cy="181155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ocure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72158" cy="182681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B0" w:rsidRDefault="009766B0">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6B0" w:rsidRPr="00242101" w:rsidRDefault="009766B0" w:rsidP="00D159FD">
    <w:pPr>
      <w:pStyle w:val="En-tte"/>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5238E1"/>
    <w:multiLevelType w:val="multilevel"/>
    <w:tmpl w:val="06041018"/>
    <w:lvl w:ilvl="0">
      <w:start w:val="1"/>
      <w:numFmt w:val="decimal"/>
      <w:pStyle w:val="Titre1"/>
      <w:lvlText w:val="%1"/>
      <w:lvlJc w:val="left"/>
      <w:pPr>
        <w:tabs>
          <w:tab w:val="num" w:pos="720"/>
        </w:tabs>
        <w:ind w:left="720" w:hanging="720"/>
      </w:pPr>
      <w:rPr>
        <w:rFonts w:hint="default"/>
      </w:rPr>
    </w:lvl>
    <w:lvl w:ilvl="1">
      <w:start w:val="1"/>
      <w:numFmt w:val="decimal"/>
      <w:pStyle w:val="Titre2"/>
      <w:lvlText w:val="%1.%2"/>
      <w:lvlJc w:val="left"/>
      <w:pPr>
        <w:tabs>
          <w:tab w:val="num" w:pos="720"/>
        </w:tabs>
        <w:ind w:left="720" w:hanging="720"/>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
    <w:nsid w:val="08293144"/>
    <w:multiLevelType w:val="multilevel"/>
    <w:tmpl w:val="C8063F3E"/>
    <w:lvl w:ilvl="0">
      <w:start w:val="1"/>
      <w:numFmt w:val="decimal"/>
      <w:pStyle w:val="Listenumros"/>
      <w:lvlText w:val="%1)"/>
      <w:lvlJc w:val="left"/>
      <w:pPr>
        <w:tabs>
          <w:tab w:val="num" w:pos="1304"/>
        </w:tabs>
        <w:ind w:left="1304" w:hanging="584"/>
      </w:pPr>
      <w:rPr>
        <w:rFonts w:ascii="Tahoma" w:hAnsi="Tahoma" w:hint="default"/>
        <w:b/>
        <w:i w:val="0"/>
        <w:color w:val="339966"/>
        <w:sz w:val="20"/>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3969"/>
        </w:tabs>
        <w:ind w:left="3969" w:hanging="1134"/>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4">
    <w:nsid w:val="0CE55274"/>
    <w:multiLevelType w:val="multilevel"/>
    <w:tmpl w:val="DE24A6B2"/>
    <w:name w:val="ParagraphBullet"/>
    <w:lvl w:ilvl="0">
      <w:start w:val="1"/>
      <w:numFmt w:val="bullet"/>
      <w:lvlText w:val=""/>
      <w:lvlJc w:val="left"/>
      <w:pPr>
        <w:ind w:left="2061" w:hanging="360"/>
      </w:pPr>
      <w:rPr>
        <w:rFonts w:ascii="Symbol" w:hAnsi="Symbol" w:hint="default"/>
        <w:b/>
        <w:i w:val="0"/>
        <w:color w:val="C73333"/>
      </w:rPr>
    </w:lvl>
    <w:lvl w:ilvl="1">
      <w:start w:val="1"/>
      <w:numFmt w:val="bullet"/>
      <w:lvlText w:val=""/>
      <w:lvlJc w:val="left"/>
      <w:pPr>
        <w:tabs>
          <w:tab w:val="num" w:pos="2415"/>
        </w:tabs>
        <w:ind w:left="2415" w:hanging="357"/>
      </w:pPr>
      <w:rPr>
        <w:rFonts w:ascii="Symbol" w:hAnsi="Symbol" w:hint="default"/>
        <w:color w:val="C73333"/>
      </w:rPr>
    </w:lvl>
    <w:lvl w:ilvl="2">
      <w:start w:val="1"/>
      <w:numFmt w:val="bullet"/>
      <w:lvlText w:val=""/>
      <w:lvlJc w:val="left"/>
      <w:pPr>
        <w:tabs>
          <w:tab w:val="num" w:pos="851"/>
        </w:tabs>
        <w:ind w:left="852" w:hanging="284"/>
      </w:pPr>
      <w:rPr>
        <w:rFonts w:ascii="Symbol" w:hAnsi="Symbol" w:hint="default"/>
        <w:color w:val="auto"/>
      </w:rPr>
    </w:lvl>
    <w:lvl w:ilvl="3">
      <w:start w:val="1"/>
      <w:numFmt w:val="bullet"/>
      <w:lvlText w:val=""/>
      <w:lvlJc w:val="left"/>
      <w:pPr>
        <w:tabs>
          <w:tab w:val="num" w:pos="1134"/>
        </w:tabs>
        <w:ind w:left="1136" w:hanging="284"/>
      </w:pPr>
      <w:rPr>
        <w:rFonts w:ascii="Symbol" w:hAnsi="Symbol" w:hint="default"/>
        <w:color w:val="auto"/>
      </w:rPr>
    </w:lvl>
    <w:lvl w:ilvl="4">
      <w:start w:val="1"/>
      <w:numFmt w:val="bullet"/>
      <w:lvlText w:val=""/>
      <w:lvlJc w:val="left"/>
      <w:pPr>
        <w:tabs>
          <w:tab w:val="num" w:pos="1418"/>
        </w:tabs>
        <w:ind w:left="1420" w:hanging="284"/>
      </w:pPr>
      <w:rPr>
        <w:rFonts w:ascii="Symbol" w:hAnsi="Symbol" w:hint="default"/>
        <w:color w:val="auto"/>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nsid w:val="0E4230B1"/>
    <w:multiLevelType w:val="hybridMultilevel"/>
    <w:tmpl w:val="0D34F192"/>
    <w:lvl w:ilvl="0" w:tplc="C35AE566">
      <w:start w:val="1"/>
      <w:numFmt w:val="bullet"/>
      <w:pStyle w:val="Box1Bullet"/>
      <w:lvlText w:val=""/>
      <w:lvlJc w:val="left"/>
      <w:pPr>
        <w:tabs>
          <w:tab w:val="num" w:pos="369"/>
        </w:tabs>
        <w:ind w:left="369" w:hanging="369"/>
      </w:pPr>
      <w:rPr>
        <w:rFonts w:ascii="Symbol" w:hAnsi="Symbol" w:hint="default"/>
        <w:b w:val="0"/>
        <w:i w:val="0"/>
        <w:color w:val="33996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29F7E70"/>
    <w:multiLevelType w:val="multilevel"/>
    <w:tmpl w:val="5288B6BE"/>
    <w:lvl w:ilvl="0">
      <w:start w:val="1"/>
      <w:numFmt w:val="decimal"/>
      <w:pStyle w:val="FigureHeading"/>
      <w:suff w:val="space"/>
      <w:lvlText w:val="Figure %1:"/>
      <w:lvlJc w:val="left"/>
      <w:pPr>
        <w:ind w:left="1287" w:hanging="567"/>
      </w:pPr>
      <w:rPr>
        <w:rFonts w:ascii="Tahoma" w:hAnsi="Tahoma" w:hint="default"/>
        <w:b/>
        <w:i w:val="0"/>
        <w:color w:val="auto"/>
        <w:sz w:val="20"/>
        <w:u w:val="single"/>
      </w:rPr>
    </w:lvl>
    <w:lvl w:ilvl="1">
      <w:start w:val="1"/>
      <w:numFmt w:val="decimal"/>
      <w:lvlText w:val="%1.%2"/>
      <w:lvlJc w:val="left"/>
      <w:pPr>
        <w:tabs>
          <w:tab w:val="num" w:pos="1967"/>
        </w:tabs>
        <w:ind w:left="1967" w:hanging="680"/>
      </w:pPr>
      <w:rPr>
        <w:rFonts w:hint="default"/>
      </w:rPr>
    </w:lvl>
    <w:lvl w:ilvl="2">
      <w:start w:val="1"/>
      <w:numFmt w:val="decimal"/>
      <w:lvlText w:val="%1.%2.%3"/>
      <w:lvlJc w:val="left"/>
      <w:pPr>
        <w:tabs>
          <w:tab w:val="num" w:pos="2705"/>
        </w:tabs>
        <w:ind w:left="2705" w:hanging="738"/>
      </w:pPr>
      <w:rPr>
        <w:rFonts w:hint="default"/>
      </w:rPr>
    </w:lvl>
    <w:lvl w:ilvl="3">
      <w:start w:val="1"/>
      <w:numFmt w:val="decimal"/>
      <w:lvlText w:val="%1.%2.%3.%4"/>
      <w:lvlJc w:val="left"/>
      <w:pPr>
        <w:tabs>
          <w:tab w:val="num" w:pos="3555"/>
        </w:tabs>
        <w:ind w:left="3555" w:hanging="850"/>
      </w:pPr>
      <w:rPr>
        <w:rFonts w:hint="default"/>
      </w:rPr>
    </w:lvl>
    <w:lvl w:ilvl="4">
      <w:start w:val="1"/>
      <w:numFmt w:val="decimal"/>
      <w:lvlText w:val="%1.%2.%3.%4.%5"/>
      <w:lvlJc w:val="left"/>
      <w:pPr>
        <w:tabs>
          <w:tab w:val="num" w:pos="4689"/>
        </w:tabs>
        <w:ind w:left="4689" w:hanging="1134"/>
      </w:pPr>
      <w:rPr>
        <w:rFonts w:hint="default"/>
      </w:rPr>
    </w:lvl>
    <w:lvl w:ilvl="5">
      <w:start w:val="1"/>
      <w:numFmt w:val="lowerRoman"/>
      <w:lvlText w:val="(%6)"/>
      <w:lvlJc w:val="left"/>
      <w:pPr>
        <w:tabs>
          <w:tab w:val="num" w:pos="720"/>
        </w:tabs>
        <w:ind w:left="2880" w:hanging="360"/>
      </w:pPr>
      <w:rPr>
        <w:rFonts w:hint="default"/>
      </w:rPr>
    </w:lvl>
    <w:lvl w:ilvl="6">
      <w:start w:val="1"/>
      <w:numFmt w:val="decimal"/>
      <w:lvlText w:val="%7."/>
      <w:lvlJc w:val="left"/>
      <w:pPr>
        <w:tabs>
          <w:tab w:val="num" w:pos="720"/>
        </w:tabs>
        <w:ind w:left="3240" w:hanging="360"/>
      </w:pPr>
      <w:rPr>
        <w:rFonts w:hint="default"/>
      </w:rPr>
    </w:lvl>
    <w:lvl w:ilvl="7">
      <w:start w:val="1"/>
      <w:numFmt w:val="lowerLetter"/>
      <w:lvlText w:val="%8."/>
      <w:lvlJc w:val="left"/>
      <w:pPr>
        <w:tabs>
          <w:tab w:val="num" w:pos="720"/>
        </w:tabs>
        <w:ind w:left="3600" w:hanging="360"/>
      </w:pPr>
      <w:rPr>
        <w:rFonts w:hint="default"/>
      </w:rPr>
    </w:lvl>
    <w:lvl w:ilvl="8">
      <w:start w:val="1"/>
      <w:numFmt w:val="lowerRoman"/>
      <w:lvlText w:val="%9."/>
      <w:lvlJc w:val="left"/>
      <w:pPr>
        <w:tabs>
          <w:tab w:val="num" w:pos="720"/>
        </w:tabs>
        <w:ind w:left="3960" w:hanging="360"/>
      </w:pPr>
      <w:rPr>
        <w:rFonts w:hint="default"/>
      </w:rPr>
    </w:lvl>
  </w:abstractNum>
  <w:abstractNum w:abstractNumId="7">
    <w:nsid w:val="1BAB1C72"/>
    <w:multiLevelType w:val="hybridMultilevel"/>
    <w:tmpl w:val="D8F84FF2"/>
    <w:lvl w:ilvl="0" w:tplc="08090001">
      <w:start w:val="1"/>
      <w:numFmt w:val="bullet"/>
      <w:lvlText w:val=""/>
      <w:lvlJc w:val="left"/>
      <w:pPr>
        <w:ind w:left="1665" w:hanging="360"/>
      </w:pPr>
      <w:rPr>
        <w:rFonts w:ascii="Symbol" w:hAnsi="Symbo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8">
    <w:nsid w:val="1C5A6609"/>
    <w:multiLevelType w:val="hybridMultilevel"/>
    <w:tmpl w:val="64DE33A2"/>
    <w:lvl w:ilvl="0" w:tplc="94F27426">
      <w:start w:val="1"/>
      <w:numFmt w:val="decimal"/>
      <w:pStyle w:val="TM5"/>
      <w:lvlText w:val="%1"/>
      <w:lvlJc w:val="left"/>
      <w:pPr>
        <w:tabs>
          <w:tab w:val="num" w:pos="720"/>
        </w:tabs>
        <w:ind w:left="720" w:hanging="720"/>
      </w:pPr>
      <w:rPr>
        <w:rFonts w:ascii="Tahoma" w:hAnsi="Tahoma" w:hint="default"/>
        <w:b w:val="0"/>
        <w:i w:val="0"/>
        <w:color w:val="auto"/>
        <w:sz w:val="20"/>
      </w:rPr>
    </w:lvl>
    <w:lvl w:ilvl="1" w:tplc="08090019" w:tentative="1">
      <w:start w:val="1"/>
      <w:numFmt w:val="lowerLetter"/>
      <w:lvlText w:val="%2."/>
      <w:lvlJc w:val="left"/>
      <w:pPr>
        <w:ind w:left="2320" w:hanging="360"/>
      </w:pPr>
    </w:lvl>
    <w:lvl w:ilvl="2" w:tplc="0809001B" w:tentative="1">
      <w:start w:val="1"/>
      <w:numFmt w:val="lowerRoman"/>
      <w:lvlText w:val="%3."/>
      <w:lvlJc w:val="right"/>
      <w:pPr>
        <w:ind w:left="3040" w:hanging="180"/>
      </w:pPr>
    </w:lvl>
    <w:lvl w:ilvl="3" w:tplc="0809000F" w:tentative="1">
      <w:start w:val="1"/>
      <w:numFmt w:val="decimal"/>
      <w:lvlText w:val="%4."/>
      <w:lvlJc w:val="left"/>
      <w:pPr>
        <w:ind w:left="3760" w:hanging="360"/>
      </w:pPr>
    </w:lvl>
    <w:lvl w:ilvl="4" w:tplc="08090019" w:tentative="1">
      <w:start w:val="1"/>
      <w:numFmt w:val="lowerLetter"/>
      <w:lvlText w:val="%5."/>
      <w:lvlJc w:val="left"/>
      <w:pPr>
        <w:ind w:left="4480" w:hanging="360"/>
      </w:pPr>
    </w:lvl>
    <w:lvl w:ilvl="5" w:tplc="0809001B" w:tentative="1">
      <w:start w:val="1"/>
      <w:numFmt w:val="lowerRoman"/>
      <w:lvlText w:val="%6."/>
      <w:lvlJc w:val="right"/>
      <w:pPr>
        <w:ind w:left="5200" w:hanging="180"/>
      </w:pPr>
    </w:lvl>
    <w:lvl w:ilvl="6" w:tplc="0809000F" w:tentative="1">
      <w:start w:val="1"/>
      <w:numFmt w:val="decimal"/>
      <w:lvlText w:val="%7."/>
      <w:lvlJc w:val="left"/>
      <w:pPr>
        <w:ind w:left="5920" w:hanging="360"/>
      </w:pPr>
    </w:lvl>
    <w:lvl w:ilvl="7" w:tplc="08090019" w:tentative="1">
      <w:start w:val="1"/>
      <w:numFmt w:val="lowerLetter"/>
      <w:lvlText w:val="%8."/>
      <w:lvlJc w:val="left"/>
      <w:pPr>
        <w:ind w:left="6640" w:hanging="360"/>
      </w:pPr>
    </w:lvl>
    <w:lvl w:ilvl="8" w:tplc="0809001B" w:tentative="1">
      <w:start w:val="1"/>
      <w:numFmt w:val="lowerRoman"/>
      <w:lvlText w:val="%9."/>
      <w:lvlJc w:val="right"/>
      <w:pPr>
        <w:ind w:left="7360" w:hanging="180"/>
      </w:pPr>
    </w:lvl>
  </w:abstractNum>
  <w:abstractNum w:abstractNumId="9">
    <w:nsid w:val="24FD37AA"/>
    <w:multiLevelType w:val="hybridMultilevel"/>
    <w:tmpl w:val="192AA9FC"/>
    <w:lvl w:ilvl="0" w:tplc="84AE8544">
      <w:start w:val="1"/>
      <w:numFmt w:val="bullet"/>
      <w:pStyle w:val="FirstBullet"/>
      <w:lvlText w:val=""/>
      <w:lvlJc w:val="left"/>
      <w:pPr>
        <w:tabs>
          <w:tab w:val="num" w:pos="1304"/>
        </w:tabs>
        <w:ind w:left="1304" w:hanging="584"/>
      </w:pPr>
      <w:rPr>
        <w:rFonts w:ascii="Wingdings" w:hAnsi="Wingdings" w:hint="default"/>
        <w:color w:val="33996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A0E2573"/>
    <w:multiLevelType w:val="hybridMultilevel"/>
    <w:tmpl w:val="89809622"/>
    <w:lvl w:ilvl="0" w:tplc="9ADA072C">
      <w:start w:val="1"/>
      <w:numFmt w:val="decimal"/>
      <w:pStyle w:val="Box1Number"/>
      <w:lvlText w:val="%1)"/>
      <w:lvlJc w:val="left"/>
      <w:pPr>
        <w:tabs>
          <w:tab w:val="num" w:pos="369"/>
        </w:tabs>
        <w:ind w:left="369" w:hanging="369"/>
      </w:pPr>
      <w:rPr>
        <w:rFonts w:ascii="Tahoma" w:hAnsi="Tahoma" w:hint="default"/>
        <w:b/>
        <w:i w:val="0"/>
        <w:color w:val="339966"/>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C17195A"/>
    <w:multiLevelType w:val="multilevel"/>
    <w:tmpl w:val="AE767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D94183"/>
    <w:multiLevelType w:val="hybridMultilevel"/>
    <w:tmpl w:val="22684AF6"/>
    <w:lvl w:ilvl="0" w:tplc="CDA6D774">
      <w:start w:val="1"/>
      <w:numFmt w:val="bullet"/>
      <w:pStyle w:val="FirstBullet2"/>
      <w:lvlText w:val=""/>
      <w:lvlJc w:val="left"/>
      <w:pPr>
        <w:tabs>
          <w:tab w:val="num" w:pos="1673"/>
        </w:tabs>
        <w:ind w:left="1673" w:hanging="369"/>
      </w:pPr>
      <w:rPr>
        <w:rFonts w:ascii="Symbol" w:hAnsi="Symbol" w:hint="default"/>
        <w:color w:val="33996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51F16D1"/>
    <w:multiLevelType w:val="multilevel"/>
    <w:tmpl w:val="BD1A22A4"/>
    <w:lvl w:ilvl="0">
      <w:start w:val="1"/>
      <w:numFmt w:val="bullet"/>
      <w:lvlText w:val=""/>
      <w:lvlJc w:val="left"/>
      <w:pPr>
        <w:tabs>
          <w:tab w:val="num" w:pos="1304"/>
        </w:tabs>
        <w:ind w:left="1304" w:hanging="584"/>
      </w:pPr>
      <w:rPr>
        <w:rFonts w:ascii="Wingdings" w:hAnsi="Wingdings" w:hint="default"/>
        <w:b/>
        <w:i w:val="0"/>
        <w:color w:val="339966"/>
        <w:sz w:val="20"/>
      </w:rPr>
    </w:lvl>
    <w:lvl w:ilvl="1">
      <w:start w:val="1"/>
      <w:numFmt w:val="bullet"/>
      <w:pStyle w:val="Listepuces2"/>
      <w:lvlText w:val=""/>
      <w:lvlJc w:val="left"/>
      <w:pPr>
        <w:tabs>
          <w:tab w:val="num" w:pos="1673"/>
        </w:tabs>
        <w:ind w:left="1673" w:hanging="369"/>
      </w:pPr>
      <w:rPr>
        <w:rFonts w:ascii="Symbol" w:hAnsi="Symbol" w:hint="default"/>
        <w:color w:val="339966"/>
      </w:rPr>
    </w:lvl>
    <w:lvl w:ilvl="2">
      <w:start w:val="1"/>
      <w:numFmt w:val="bullet"/>
      <w:lvlText w:val=""/>
      <w:lvlJc w:val="left"/>
      <w:pPr>
        <w:tabs>
          <w:tab w:val="num" w:pos="851"/>
        </w:tabs>
        <w:ind w:left="852" w:hanging="284"/>
      </w:pPr>
      <w:rPr>
        <w:rFonts w:ascii="Symbol" w:hAnsi="Symbol" w:hint="default"/>
        <w:color w:val="auto"/>
      </w:rPr>
    </w:lvl>
    <w:lvl w:ilvl="3">
      <w:start w:val="1"/>
      <w:numFmt w:val="bullet"/>
      <w:lvlText w:val=""/>
      <w:lvlJc w:val="left"/>
      <w:pPr>
        <w:tabs>
          <w:tab w:val="num" w:pos="1134"/>
        </w:tabs>
        <w:ind w:left="1136" w:hanging="284"/>
      </w:pPr>
      <w:rPr>
        <w:rFonts w:ascii="Symbol" w:hAnsi="Symbol" w:hint="default"/>
        <w:color w:val="auto"/>
      </w:rPr>
    </w:lvl>
    <w:lvl w:ilvl="4">
      <w:start w:val="1"/>
      <w:numFmt w:val="bullet"/>
      <w:lvlText w:val=""/>
      <w:lvlJc w:val="left"/>
      <w:pPr>
        <w:tabs>
          <w:tab w:val="num" w:pos="1418"/>
        </w:tabs>
        <w:ind w:left="1420" w:hanging="284"/>
      </w:pPr>
      <w:rPr>
        <w:rFonts w:ascii="Symbol" w:hAnsi="Symbol" w:hint="default"/>
        <w:color w:val="auto"/>
      </w:rPr>
    </w:lvl>
    <w:lvl w:ilvl="5">
      <w:start w:val="1"/>
      <w:numFmt w:val="lowerRoman"/>
      <w:lvlText w:val="(%6)"/>
      <w:lvlJc w:val="left"/>
      <w:pPr>
        <w:tabs>
          <w:tab w:val="num" w:pos="0"/>
        </w:tabs>
        <w:ind w:left="1704" w:hanging="284"/>
      </w:pPr>
      <w:rPr>
        <w:rFonts w:hint="default"/>
      </w:rPr>
    </w:lvl>
    <w:lvl w:ilvl="6">
      <w:start w:val="1"/>
      <w:numFmt w:val="decimal"/>
      <w:lvlText w:val="%7."/>
      <w:lvlJc w:val="left"/>
      <w:pPr>
        <w:tabs>
          <w:tab w:val="num" w:pos="0"/>
        </w:tabs>
        <w:ind w:left="1988" w:hanging="284"/>
      </w:pPr>
      <w:rPr>
        <w:rFonts w:hint="default"/>
      </w:rPr>
    </w:lvl>
    <w:lvl w:ilvl="7">
      <w:start w:val="1"/>
      <w:numFmt w:val="lowerLetter"/>
      <w:lvlText w:val="%8."/>
      <w:lvlJc w:val="left"/>
      <w:pPr>
        <w:tabs>
          <w:tab w:val="num" w:pos="0"/>
        </w:tabs>
        <w:ind w:left="2272" w:hanging="284"/>
      </w:pPr>
      <w:rPr>
        <w:rFonts w:hint="default"/>
      </w:rPr>
    </w:lvl>
    <w:lvl w:ilvl="8">
      <w:start w:val="1"/>
      <w:numFmt w:val="lowerRoman"/>
      <w:lvlText w:val="%9."/>
      <w:lvlJc w:val="left"/>
      <w:pPr>
        <w:tabs>
          <w:tab w:val="num" w:pos="0"/>
        </w:tabs>
        <w:ind w:left="2556" w:hanging="284"/>
      </w:pPr>
      <w:rPr>
        <w:rFonts w:hint="default"/>
      </w:rPr>
    </w:lvl>
  </w:abstractNum>
  <w:abstractNum w:abstractNumId="14">
    <w:nsid w:val="39B9360D"/>
    <w:multiLevelType w:val="hybridMultilevel"/>
    <w:tmpl w:val="ACCC8062"/>
    <w:lvl w:ilvl="0" w:tplc="3F842194">
      <w:start w:val="1"/>
      <w:numFmt w:val="decimal"/>
      <w:pStyle w:val="AppendixNumber1"/>
      <w:lvlText w:val="%1)"/>
      <w:lvlJc w:val="left"/>
      <w:pPr>
        <w:tabs>
          <w:tab w:val="num" w:pos="584"/>
        </w:tabs>
        <w:ind w:left="584" w:hanging="584"/>
      </w:pPr>
      <w:rPr>
        <w:rFonts w:ascii="Tahoma" w:hAnsi="Tahoma" w:hint="default"/>
        <w:b/>
        <w:i w:val="0"/>
        <w:color w:val="339966"/>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3E1C7F4B"/>
    <w:multiLevelType w:val="hybridMultilevel"/>
    <w:tmpl w:val="20781400"/>
    <w:lvl w:ilvl="0" w:tplc="DA14D334">
      <w:start w:val="1"/>
      <w:numFmt w:val="decimal"/>
      <w:pStyle w:val="Box2Number"/>
      <w:lvlText w:val="%1)"/>
      <w:lvlJc w:val="left"/>
      <w:pPr>
        <w:tabs>
          <w:tab w:val="num" w:pos="369"/>
        </w:tabs>
        <w:ind w:left="369" w:hanging="369"/>
      </w:pPr>
      <w:rPr>
        <w:rFonts w:ascii="Tahoma" w:hAnsi="Tahoma" w:hint="default"/>
        <w:b/>
        <w:i w:val="0"/>
        <w:color w:val="99CC0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4048519B"/>
    <w:multiLevelType w:val="hybridMultilevel"/>
    <w:tmpl w:val="D7A094E0"/>
    <w:lvl w:ilvl="0" w:tplc="095C7E9A">
      <w:start w:val="1"/>
      <w:numFmt w:val="bullet"/>
      <w:pStyle w:val="Box3Bullet"/>
      <w:lvlText w:val=""/>
      <w:lvlJc w:val="left"/>
      <w:pPr>
        <w:tabs>
          <w:tab w:val="num" w:pos="369"/>
        </w:tabs>
        <w:ind w:left="369" w:hanging="369"/>
      </w:pPr>
      <w:rPr>
        <w:rFonts w:ascii="Symbol" w:hAnsi="Symbol" w:hint="default"/>
        <w:b w:val="0"/>
        <w:i w:val="0"/>
        <w:color w:val="8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0FC4C19"/>
    <w:multiLevelType w:val="hybridMultilevel"/>
    <w:tmpl w:val="6060DA86"/>
    <w:lvl w:ilvl="0" w:tplc="31E20FEE">
      <w:start w:val="1"/>
      <w:numFmt w:val="bullet"/>
      <w:pStyle w:val="ExSumBullet1"/>
      <w:lvlText w:val=""/>
      <w:lvlJc w:val="left"/>
      <w:pPr>
        <w:tabs>
          <w:tab w:val="num" w:pos="-360"/>
        </w:tabs>
        <w:ind w:left="360" w:hanging="360"/>
      </w:pPr>
      <w:rPr>
        <w:rFonts w:ascii="Wingdings" w:hAnsi="Wingdings" w:hint="default"/>
        <w:color w:val="339966"/>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BB63E2"/>
    <w:multiLevelType w:val="hybridMultilevel"/>
    <w:tmpl w:val="F68CF9E0"/>
    <w:lvl w:ilvl="0" w:tplc="EDD2558A">
      <w:start w:val="1"/>
      <w:numFmt w:val="bullet"/>
      <w:pStyle w:val="AppendixFirstBullet"/>
      <w:lvlText w:val=""/>
      <w:lvlJc w:val="left"/>
      <w:pPr>
        <w:tabs>
          <w:tab w:val="num" w:pos="584"/>
        </w:tabs>
        <w:ind w:left="584" w:hanging="584"/>
      </w:pPr>
      <w:rPr>
        <w:rFonts w:ascii="Wingdings" w:hAnsi="Wingdings" w:hint="default"/>
        <w:color w:val="339966"/>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F220A18"/>
    <w:multiLevelType w:val="multilevel"/>
    <w:tmpl w:val="66E018A2"/>
    <w:lvl w:ilvl="0">
      <w:start w:val="1"/>
      <w:numFmt w:val="decimal"/>
      <w:pStyle w:val="AppendixTitle"/>
      <w:suff w:val="nothing"/>
      <w:lvlText w:val="Appendix %1"/>
      <w:lvlJc w:val="left"/>
      <w:pPr>
        <w:ind w:left="1080" w:hanging="720"/>
      </w:pPr>
      <w:rPr>
        <w:rFonts w:ascii="Tahoma" w:hAnsi="Tahoma" w:hint="default"/>
        <w:b/>
        <w:i w:val="0"/>
        <w:color w:val="339966"/>
        <w:sz w:val="40"/>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4)"/>
      <w:lvlJc w:val="left"/>
      <w:pPr>
        <w:tabs>
          <w:tab w:val="num" w:pos="360"/>
        </w:tabs>
        <w:ind w:left="1800" w:hanging="360"/>
      </w:pPr>
      <w:rPr>
        <w:rFonts w:hint="default"/>
      </w:rPr>
    </w:lvl>
    <w:lvl w:ilvl="4">
      <w:start w:val="1"/>
      <w:numFmt w:val="lowerLetter"/>
      <w:lvlText w:val="(%5)"/>
      <w:lvlJc w:val="left"/>
      <w:pPr>
        <w:tabs>
          <w:tab w:val="num" w:pos="360"/>
        </w:tabs>
        <w:ind w:left="2160" w:hanging="360"/>
      </w:pPr>
      <w:rPr>
        <w:rFonts w:hint="default"/>
      </w:rPr>
    </w:lvl>
    <w:lvl w:ilvl="5">
      <w:start w:val="1"/>
      <w:numFmt w:val="lowerRoman"/>
      <w:lvlText w:val="(%6)"/>
      <w:lvlJc w:val="left"/>
      <w:pPr>
        <w:tabs>
          <w:tab w:val="num" w:pos="360"/>
        </w:tabs>
        <w:ind w:left="2520" w:hanging="360"/>
      </w:pPr>
      <w:rPr>
        <w:rFonts w:hint="default"/>
      </w:rPr>
    </w:lvl>
    <w:lvl w:ilvl="6">
      <w:start w:val="1"/>
      <w:numFmt w:val="decimal"/>
      <w:lvlText w:val="%7."/>
      <w:lvlJc w:val="left"/>
      <w:pPr>
        <w:tabs>
          <w:tab w:val="num" w:pos="360"/>
        </w:tabs>
        <w:ind w:left="2880" w:hanging="360"/>
      </w:pPr>
      <w:rPr>
        <w:rFonts w:hint="default"/>
      </w:rPr>
    </w:lvl>
    <w:lvl w:ilvl="7">
      <w:start w:val="1"/>
      <w:numFmt w:val="lowerLetter"/>
      <w:lvlText w:val="%8."/>
      <w:lvlJc w:val="left"/>
      <w:pPr>
        <w:tabs>
          <w:tab w:val="num" w:pos="360"/>
        </w:tabs>
        <w:ind w:left="3240" w:hanging="360"/>
      </w:pPr>
      <w:rPr>
        <w:rFonts w:hint="default"/>
      </w:rPr>
    </w:lvl>
    <w:lvl w:ilvl="8">
      <w:start w:val="1"/>
      <w:numFmt w:val="lowerRoman"/>
      <w:lvlText w:val="%9."/>
      <w:lvlJc w:val="left"/>
      <w:pPr>
        <w:tabs>
          <w:tab w:val="num" w:pos="360"/>
        </w:tabs>
        <w:ind w:left="3600" w:hanging="360"/>
      </w:pPr>
      <w:rPr>
        <w:rFonts w:hint="default"/>
      </w:rPr>
    </w:lvl>
  </w:abstractNum>
  <w:abstractNum w:abstractNumId="20">
    <w:nsid w:val="515168B6"/>
    <w:multiLevelType w:val="multilevel"/>
    <w:tmpl w:val="B4BE8D78"/>
    <w:lvl w:ilvl="0">
      <w:start w:val="1"/>
      <w:numFmt w:val="decimal"/>
      <w:pStyle w:val="TableHeading"/>
      <w:suff w:val="nothing"/>
      <w:lvlText w:val="Table %1:"/>
      <w:lvlJc w:val="left"/>
      <w:pPr>
        <w:ind w:left="1287" w:hanging="567"/>
      </w:pPr>
      <w:rPr>
        <w:rFonts w:ascii="Tahoma" w:hAnsi="Tahoma" w:hint="default"/>
        <w:b/>
        <w:i w:val="0"/>
        <w:color w:val="auto"/>
        <w:sz w:val="20"/>
        <w:u w:val="single"/>
      </w:rPr>
    </w:lvl>
    <w:lvl w:ilvl="1">
      <w:start w:val="1"/>
      <w:numFmt w:val="lowerLetter"/>
      <w:suff w:val="space"/>
      <w:lvlText w:val="%2."/>
      <w:lvlJc w:val="left"/>
      <w:pPr>
        <w:ind w:left="1854" w:firstLine="0"/>
      </w:pPr>
      <w:rPr>
        <w:rFonts w:hint="default"/>
      </w:rPr>
    </w:lvl>
    <w:lvl w:ilvl="2">
      <w:start w:val="1"/>
      <w:numFmt w:val="lowerRoman"/>
      <w:suff w:val="space"/>
      <w:lvlText w:val="%3."/>
      <w:lvlJc w:val="left"/>
      <w:pPr>
        <w:ind w:left="2421" w:firstLine="0"/>
      </w:pPr>
      <w:rPr>
        <w:rFonts w:hint="default"/>
      </w:rPr>
    </w:lvl>
    <w:lvl w:ilvl="3">
      <w:start w:val="1"/>
      <w:numFmt w:val="decimal"/>
      <w:lvlText w:val="%1.%2.%3.%4."/>
      <w:lvlJc w:val="left"/>
      <w:pPr>
        <w:tabs>
          <w:tab w:val="num" w:pos="2520"/>
        </w:tabs>
        <w:ind w:left="2517" w:hanging="572"/>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1">
    <w:nsid w:val="57510C8F"/>
    <w:multiLevelType w:val="hybridMultilevel"/>
    <w:tmpl w:val="9632A426"/>
    <w:lvl w:ilvl="0" w:tplc="2A3802D8">
      <w:start w:val="1"/>
      <w:numFmt w:val="bullet"/>
      <w:pStyle w:val="Box2Bullet"/>
      <w:lvlText w:val=""/>
      <w:lvlJc w:val="left"/>
      <w:pPr>
        <w:tabs>
          <w:tab w:val="num" w:pos="369"/>
        </w:tabs>
        <w:ind w:left="369" w:hanging="369"/>
      </w:pPr>
      <w:rPr>
        <w:rFonts w:ascii="Symbol" w:hAnsi="Symbol" w:hint="default"/>
        <w:b w:val="0"/>
        <w:i w:val="0"/>
        <w:color w:val="99CC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CC1219C"/>
    <w:multiLevelType w:val="hybridMultilevel"/>
    <w:tmpl w:val="4A2852B2"/>
    <w:lvl w:ilvl="0" w:tplc="61A42570">
      <w:start w:val="1"/>
      <w:numFmt w:val="bullet"/>
      <w:pStyle w:val="Listepuces"/>
      <w:lvlText w:val=""/>
      <w:lvlJc w:val="left"/>
      <w:pPr>
        <w:tabs>
          <w:tab w:val="num" w:pos="1304"/>
        </w:tabs>
        <w:ind w:left="1304" w:hanging="584"/>
      </w:pPr>
      <w:rPr>
        <w:rFonts w:ascii="Wingdings" w:hAnsi="Wingdings" w:hint="default"/>
        <w:color w:val="339966"/>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D87577E"/>
    <w:multiLevelType w:val="multilevel"/>
    <w:tmpl w:val="26364820"/>
    <w:lvl w:ilvl="0">
      <w:start w:val="1"/>
      <w:numFmt w:val="decimal"/>
      <w:pStyle w:val="TableListNumber"/>
      <w:lvlText w:val="%1)"/>
      <w:lvlJc w:val="left"/>
      <w:pPr>
        <w:tabs>
          <w:tab w:val="num" w:pos="369"/>
        </w:tabs>
        <w:ind w:left="369" w:hanging="369"/>
      </w:pPr>
      <w:rPr>
        <w:rFonts w:ascii="Tahoma" w:hAnsi="Tahoma" w:hint="default"/>
        <w:b/>
        <w:i w:val="0"/>
        <w:color w:val="339966"/>
        <w:sz w:val="20"/>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3969"/>
        </w:tabs>
        <w:ind w:left="3969" w:hanging="1134"/>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4">
    <w:nsid w:val="5DF65EA0"/>
    <w:multiLevelType w:val="hybridMultilevel"/>
    <w:tmpl w:val="134CD0D6"/>
    <w:lvl w:ilvl="0" w:tplc="F768E3EA">
      <w:start w:val="1"/>
      <w:numFmt w:val="bullet"/>
      <w:pStyle w:val="AppendixBullet1"/>
      <w:lvlText w:val=""/>
      <w:lvlJc w:val="left"/>
      <w:pPr>
        <w:tabs>
          <w:tab w:val="num" w:pos="584"/>
        </w:tabs>
        <w:ind w:left="584" w:hanging="584"/>
      </w:pPr>
      <w:rPr>
        <w:rFonts w:ascii="Wingdings" w:hAnsi="Wingdings" w:hint="default"/>
        <w:color w:val="339966"/>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FB60BBA"/>
    <w:multiLevelType w:val="hybridMultilevel"/>
    <w:tmpl w:val="0E202EFE"/>
    <w:lvl w:ilvl="0" w:tplc="09C63B2A">
      <w:start w:val="1"/>
      <w:numFmt w:val="decimal"/>
      <w:pStyle w:val="ExSumNumber1"/>
      <w:lvlText w:val="%1)"/>
      <w:lvlJc w:val="left"/>
      <w:pPr>
        <w:tabs>
          <w:tab w:val="num" w:pos="-360"/>
        </w:tabs>
        <w:ind w:left="360" w:hanging="360"/>
      </w:pPr>
      <w:rPr>
        <w:rFonts w:ascii="Tahoma" w:hAnsi="Tahoma" w:hint="default"/>
        <w:b/>
        <w:i w:val="0"/>
        <w:color w:val="339966"/>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A3A7135"/>
    <w:multiLevelType w:val="hybridMultilevel"/>
    <w:tmpl w:val="27FA24AA"/>
    <w:lvl w:ilvl="0" w:tplc="E4680416">
      <w:start w:val="1"/>
      <w:numFmt w:val="bullet"/>
      <w:pStyle w:val="TableListBullet"/>
      <w:lvlText w:val=""/>
      <w:lvlJc w:val="left"/>
      <w:pPr>
        <w:tabs>
          <w:tab w:val="num" w:pos="369"/>
        </w:tabs>
        <w:ind w:left="369" w:hanging="369"/>
      </w:pPr>
      <w:rPr>
        <w:rFonts w:ascii="Symbol" w:hAnsi="Symbol" w:hint="default"/>
        <w:b/>
        <w:i w:val="0"/>
        <w:color w:val="3399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CFC6069"/>
    <w:multiLevelType w:val="multilevel"/>
    <w:tmpl w:val="E0C2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B747E9"/>
    <w:multiLevelType w:val="hybridMultilevel"/>
    <w:tmpl w:val="04189032"/>
    <w:lvl w:ilvl="0" w:tplc="3F0ABAB2">
      <w:start w:val="1"/>
      <w:numFmt w:val="decimal"/>
      <w:pStyle w:val="Box3Number"/>
      <w:lvlText w:val="%1)"/>
      <w:lvlJc w:val="left"/>
      <w:pPr>
        <w:tabs>
          <w:tab w:val="num" w:pos="369"/>
        </w:tabs>
        <w:ind w:left="369" w:hanging="369"/>
      </w:pPr>
      <w:rPr>
        <w:rFonts w:ascii="Tahoma" w:hAnsi="Tahoma" w:hint="default"/>
        <w:b/>
        <w:i w:val="0"/>
        <w:color w:val="80808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3"/>
  </w:num>
  <w:num w:numId="2">
    <w:abstractNumId w:val="26"/>
  </w:num>
  <w:num w:numId="3">
    <w:abstractNumId w:val="8"/>
  </w:num>
  <w:num w:numId="4">
    <w:abstractNumId w:val="17"/>
  </w:num>
  <w:num w:numId="5">
    <w:abstractNumId w:val="25"/>
  </w:num>
  <w:num w:numId="6">
    <w:abstractNumId w:val="6"/>
  </w:num>
  <w:num w:numId="7">
    <w:abstractNumId w:val="20"/>
  </w:num>
  <w:num w:numId="8">
    <w:abstractNumId w:val="2"/>
  </w:num>
  <w:num w:numId="9">
    <w:abstractNumId w:val="13"/>
  </w:num>
  <w:num w:numId="10">
    <w:abstractNumId w:val="3"/>
  </w:num>
  <w:num w:numId="11">
    <w:abstractNumId w:val="19"/>
  </w:num>
  <w:num w:numId="12">
    <w:abstractNumId w:val="24"/>
  </w:num>
  <w:num w:numId="13">
    <w:abstractNumId w:val="14"/>
  </w:num>
  <w:num w:numId="14">
    <w:abstractNumId w:val="18"/>
  </w:num>
  <w:num w:numId="15">
    <w:abstractNumId w:val="9"/>
  </w:num>
  <w:num w:numId="16">
    <w:abstractNumId w:val="12"/>
  </w:num>
  <w:num w:numId="17">
    <w:abstractNumId w:val="22"/>
  </w:num>
  <w:num w:numId="18">
    <w:abstractNumId w:val="5"/>
  </w:num>
  <w:num w:numId="19">
    <w:abstractNumId w:val="10"/>
  </w:num>
  <w:num w:numId="20">
    <w:abstractNumId w:val="21"/>
  </w:num>
  <w:num w:numId="21">
    <w:abstractNumId w:val="15"/>
  </w:num>
  <w:num w:numId="22">
    <w:abstractNumId w:val="16"/>
  </w:num>
  <w:num w:numId="23">
    <w:abstractNumId w:val="28"/>
  </w:num>
  <w:num w:numId="24">
    <w:abstractNumId w:val="22"/>
  </w:num>
  <w:num w:numId="25">
    <w:abstractNumId w:val="9"/>
  </w:num>
  <w:num w:numId="26">
    <w:abstractNumId w:val="22"/>
  </w:num>
  <w:num w:numId="27">
    <w:abstractNumId w:val="9"/>
  </w:num>
  <w:num w:numId="28">
    <w:abstractNumId w:val="22"/>
  </w:num>
  <w:num w:numId="29">
    <w:abstractNumId w:val="9"/>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2"/>
  </w:num>
  <w:num w:numId="33">
    <w:abstractNumId w:val="22"/>
  </w:num>
  <w:num w:numId="34">
    <w:abstractNumId w:val="9"/>
  </w:num>
  <w:num w:numId="35">
    <w:abstractNumId w:val="11"/>
  </w:num>
  <w:num w:numId="36">
    <w:abstractNumId w:val="27"/>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665"/>
    <w:rsid w:val="00000E7F"/>
    <w:rsid w:val="00001FF4"/>
    <w:rsid w:val="00002459"/>
    <w:rsid w:val="00004FF4"/>
    <w:rsid w:val="00005FAB"/>
    <w:rsid w:val="0001017C"/>
    <w:rsid w:val="000117AC"/>
    <w:rsid w:val="0001422A"/>
    <w:rsid w:val="0002047D"/>
    <w:rsid w:val="000204EF"/>
    <w:rsid w:val="000237A1"/>
    <w:rsid w:val="0002669F"/>
    <w:rsid w:val="00031B9C"/>
    <w:rsid w:val="00033E68"/>
    <w:rsid w:val="00041664"/>
    <w:rsid w:val="00041858"/>
    <w:rsid w:val="000441A0"/>
    <w:rsid w:val="000562CB"/>
    <w:rsid w:val="00057136"/>
    <w:rsid w:val="000624CA"/>
    <w:rsid w:val="00063F45"/>
    <w:rsid w:val="000664A3"/>
    <w:rsid w:val="00070FF2"/>
    <w:rsid w:val="00071D70"/>
    <w:rsid w:val="0007346E"/>
    <w:rsid w:val="00074610"/>
    <w:rsid w:val="000811DC"/>
    <w:rsid w:val="00084FB8"/>
    <w:rsid w:val="000878D6"/>
    <w:rsid w:val="00092889"/>
    <w:rsid w:val="00094531"/>
    <w:rsid w:val="0009536F"/>
    <w:rsid w:val="000954D5"/>
    <w:rsid w:val="000976C9"/>
    <w:rsid w:val="000979D8"/>
    <w:rsid w:val="000A2FA0"/>
    <w:rsid w:val="000A4EBC"/>
    <w:rsid w:val="000A7991"/>
    <w:rsid w:val="000B2FB7"/>
    <w:rsid w:val="000B3269"/>
    <w:rsid w:val="000B4A6B"/>
    <w:rsid w:val="000B5EFA"/>
    <w:rsid w:val="000B6991"/>
    <w:rsid w:val="000B7990"/>
    <w:rsid w:val="000C472F"/>
    <w:rsid w:val="000C60E8"/>
    <w:rsid w:val="000C6EA3"/>
    <w:rsid w:val="000D0F00"/>
    <w:rsid w:val="000D1976"/>
    <w:rsid w:val="000D3B8A"/>
    <w:rsid w:val="000D6CB9"/>
    <w:rsid w:val="000D7B06"/>
    <w:rsid w:val="000D7B9E"/>
    <w:rsid w:val="000E2006"/>
    <w:rsid w:val="000E397D"/>
    <w:rsid w:val="000F21BA"/>
    <w:rsid w:val="000F23D9"/>
    <w:rsid w:val="000F6050"/>
    <w:rsid w:val="001036C9"/>
    <w:rsid w:val="001050A6"/>
    <w:rsid w:val="0010676B"/>
    <w:rsid w:val="00106844"/>
    <w:rsid w:val="0011330C"/>
    <w:rsid w:val="00113E09"/>
    <w:rsid w:val="00114A92"/>
    <w:rsid w:val="00120BE8"/>
    <w:rsid w:val="00120C5B"/>
    <w:rsid w:val="00120E33"/>
    <w:rsid w:val="00122B5E"/>
    <w:rsid w:val="00133231"/>
    <w:rsid w:val="00133AA0"/>
    <w:rsid w:val="00133C0D"/>
    <w:rsid w:val="001345A6"/>
    <w:rsid w:val="001356F4"/>
    <w:rsid w:val="0013685B"/>
    <w:rsid w:val="00137FE1"/>
    <w:rsid w:val="00140CDD"/>
    <w:rsid w:val="001421C8"/>
    <w:rsid w:val="001430BB"/>
    <w:rsid w:val="001442DC"/>
    <w:rsid w:val="00146217"/>
    <w:rsid w:val="00150538"/>
    <w:rsid w:val="001549AD"/>
    <w:rsid w:val="00155A4C"/>
    <w:rsid w:val="00157465"/>
    <w:rsid w:val="00162652"/>
    <w:rsid w:val="001669D1"/>
    <w:rsid w:val="00171194"/>
    <w:rsid w:val="00173017"/>
    <w:rsid w:val="00173210"/>
    <w:rsid w:val="00175158"/>
    <w:rsid w:val="0017632F"/>
    <w:rsid w:val="0017709F"/>
    <w:rsid w:val="001804F4"/>
    <w:rsid w:val="00180CB0"/>
    <w:rsid w:val="001819D9"/>
    <w:rsid w:val="0018361A"/>
    <w:rsid w:val="00184588"/>
    <w:rsid w:val="00184D5A"/>
    <w:rsid w:val="001850C9"/>
    <w:rsid w:val="001874F5"/>
    <w:rsid w:val="00191290"/>
    <w:rsid w:val="001926ED"/>
    <w:rsid w:val="00192BC9"/>
    <w:rsid w:val="00193C61"/>
    <w:rsid w:val="001951D5"/>
    <w:rsid w:val="001959A7"/>
    <w:rsid w:val="00197A5D"/>
    <w:rsid w:val="001A32E2"/>
    <w:rsid w:val="001A3937"/>
    <w:rsid w:val="001A41CB"/>
    <w:rsid w:val="001B16FF"/>
    <w:rsid w:val="001B4489"/>
    <w:rsid w:val="001B664B"/>
    <w:rsid w:val="001B6F8E"/>
    <w:rsid w:val="001C1392"/>
    <w:rsid w:val="001C32A6"/>
    <w:rsid w:val="001C3C1F"/>
    <w:rsid w:val="001D00A8"/>
    <w:rsid w:val="001D2060"/>
    <w:rsid w:val="001D24BC"/>
    <w:rsid w:val="001D36AE"/>
    <w:rsid w:val="001D3942"/>
    <w:rsid w:val="001D49A0"/>
    <w:rsid w:val="001D52A9"/>
    <w:rsid w:val="001E0E68"/>
    <w:rsid w:val="001F0CD7"/>
    <w:rsid w:val="001F163A"/>
    <w:rsid w:val="001F3486"/>
    <w:rsid w:val="001F6586"/>
    <w:rsid w:val="00210BC3"/>
    <w:rsid w:val="0021292A"/>
    <w:rsid w:val="0021577B"/>
    <w:rsid w:val="002168EC"/>
    <w:rsid w:val="00216CF0"/>
    <w:rsid w:val="00220501"/>
    <w:rsid w:val="00226B40"/>
    <w:rsid w:val="00226FD7"/>
    <w:rsid w:val="00227076"/>
    <w:rsid w:val="00232082"/>
    <w:rsid w:val="00240086"/>
    <w:rsid w:val="0024145B"/>
    <w:rsid w:val="00242101"/>
    <w:rsid w:val="00247253"/>
    <w:rsid w:val="0024743E"/>
    <w:rsid w:val="00250366"/>
    <w:rsid w:val="002536DB"/>
    <w:rsid w:val="00253940"/>
    <w:rsid w:val="00253E10"/>
    <w:rsid w:val="0025635D"/>
    <w:rsid w:val="00257E4D"/>
    <w:rsid w:val="00262CC2"/>
    <w:rsid w:val="00264180"/>
    <w:rsid w:val="002651E0"/>
    <w:rsid w:val="002658E2"/>
    <w:rsid w:val="00266F40"/>
    <w:rsid w:val="002700F8"/>
    <w:rsid w:val="00272350"/>
    <w:rsid w:val="00274FDB"/>
    <w:rsid w:val="0028029C"/>
    <w:rsid w:val="00282C84"/>
    <w:rsid w:val="00285629"/>
    <w:rsid w:val="00286CD6"/>
    <w:rsid w:val="00291159"/>
    <w:rsid w:val="002920C9"/>
    <w:rsid w:val="00292239"/>
    <w:rsid w:val="002A26A2"/>
    <w:rsid w:val="002A4875"/>
    <w:rsid w:val="002A6365"/>
    <w:rsid w:val="002A6D8E"/>
    <w:rsid w:val="002A7A6C"/>
    <w:rsid w:val="002A7DB2"/>
    <w:rsid w:val="002B0C60"/>
    <w:rsid w:val="002B0DE0"/>
    <w:rsid w:val="002B2EBE"/>
    <w:rsid w:val="002B354B"/>
    <w:rsid w:val="002B4103"/>
    <w:rsid w:val="002B551D"/>
    <w:rsid w:val="002B5ED7"/>
    <w:rsid w:val="002C0191"/>
    <w:rsid w:val="002C3808"/>
    <w:rsid w:val="002C3E65"/>
    <w:rsid w:val="002C3FDF"/>
    <w:rsid w:val="002C53F3"/>
    <w:rsid w:val="002C7030"/>
    <w:rsid w:val="002D02B4"/>
    <w:rsid w:val="002D0FC9"/>
    <w:rsid w:val="002D2519"/>
    <w:rsid w:val="002D483E"/>
    <w:rsid w:val="002D597F"/>
    <w:rsid w:val="002E3460"/>
    <w:rsid w:val="002E3470"/>
    <w:rsid w:val="002E4B4B"/>
    <w:rsid w:val="002E63DB"/>
    <w:rsid w:val="002E6ACA"/>
    <w:rsid w:val="002F6196"/>
    <w:rsid w:val="002F6FCC"/>
    <w:rsid w:val="00300B46"/>
    <w:rsid w:val="0030130B"/>
    <w:rsid w:val="00301427"/>
    <w:rsid w:val="0030167B"/>
    <w:rsid w:val="0030358B"/>
    <w:rsid w:val="00303C92"/>
    <w:rsid w:val="00305023"/>
    <w:rsid w:val="00310652"/>
    <w:rsid w:val="00311C94"/>
    <w:rsid w:val="003120FA"/>
    <w:rsid w:val="00314659"/>
    <w:rsid w:val="00314E99"/>
    <w:rsid w:val="0031682C"/>
    <w:rsid w:val="00317D9B"/>
    <w:rsid w:val="003218ED"/>
    <w:rsid w:val="00321A43"/>
    <w:rsid w:val="00323B1A"/>
    <w:rsid w:val="003241F3"/>
    <w:rsid w:val="00324593"/>
    <w:rsid w:val="00324BAC"/>
    <w:rsid w:val="003250F4"/>
    <w:rsid w:val="00327944"/>
    <w:rsid w:val="003320CD"/>
    <w:rsid w:val="00333D9D"/>
    <w:rsid w:val="00334A0D"/>
    <w:rsid w:val="00340EC9"/>
    <w:rsid w:val="00341191"/>
    <w:rsid w:val="003411E7"/>
    <w:rsid w:val="00342442"/>
    <w:rsid w:val="00346794"/>
    <w:rsid w:val="00346CD0"/>
    <w:rsid w:val="00350C13"/>
    <w:rsid w:val="00351E61"/>
    <w:rsid w:val="003576EE"/>
    <w:rsid w:val="00363D2F"/>
    <w:rsid w:val="00364021"/>
    <w:rsid w:val="00370E8A"/>
    <w:rsid w:val="00372C44"/>
    <w:rsid w:val="00373F16"/>
    <w:rsid w:val="0037647A"/>
    <w:rsid w:val="0037733F"/>
    <w:rsid w:val="00384F33"/>
    <w:rsid w:val="003859D4"/>
    <w:rsid w:val="00386BAE"/>
    <w:rsid w:val="00387285"/>
    <w:rsid w:val="003903D0"/>
    <w:rsid w:val="00392895"/>
    <w:rsid w:val="00392FB6"/>
    <w:rsid w:val="00394688"/>
    <w:rsid w:val="003950F8"/>
    <w:rsid w:val="0039657A"/>
    <w:rsid w:val="00397B7A"/>
    <w:rsid w:val="003A115D"/>
    <w:rsid w:val="003A1659"/>
    <w:rsid w:val="003A2C56"/>
    <w:rsid w:val="003A3BC6"/>
    <w:rsid w:val="003A5703"/>
    <w:rsid w:val="003B37DC"/>
    <w:rsid w:val="003B3A13"/>
    <w:rsid w:val="003B712C"/>
    <w:rsid w:val="003C3FB5"/>
    <w:rsid w:val="003C648A"/>
    <w:rsid w:val="003C7E69"/>
    <w:rsid w:val="003D0422"/>
    <w:rsid w:val="003D06DA"/>
    <w:rsid w:val="003D4039"/>
    <w:rsid w:val="003D4D2F"/>
    <w:rsid w:val="003D4F81"/>
    <w:rsid w:val="003D5C58"/>
    <w:rsid w:val="003D7220"/>
    <w:rsid w:val="003E3180"/>
    <w:rsid w:val="003E397F"/>
    <w:rsid w:val="003E398A"/>
    <w:rsid w:val="003E6309"/>
    <w:rsid w:val="003E6F9D"/>
    <w:rsid w:val="003F2AD4"/>
    <w:rsid w:val="003F2FFE"/>
    <w:rsid w:val="003F340C"/>
    <w:rsid w:val="003F5B76"/>
    <w:rsid w:val="003F7B34"/>
    <w:rsid w:val="00400327"/>
    <w:rsid w:val="0040394B"/>
    <w:rsid w:val="00405413"/>
    <w:rsid w:val="004071C2"/>
    <w:rsid w:val="0041036D"/>
    <w:rsid w:val="00412621"/>
    <w:rsid w:val="00412BFC"/>
    <w:rsid w:val="00420D33"/>
    <w:rsid w:val="00422B76"/>
    <w:rsid w:val="004254E0"/>
    <w:rsid w:val="004307F9"/>
    <w:rsid w:val="00432066"/>
    <w:rsid w:val="00434F33"/>
    <w:rsid w:val="004427A6"/>
    <w:rsid w:val="00443DFB"/>
    <w:rsid w:val="00445C85"/>
    <w:rsid w:val="00447638"/>
    <w:rsid w:val="00450468"/>
    <w:rsid w:val="004516C6"/>
    <w:rsid w:val="00451E06"/>
    <w:rsid w:val="00454D8F"/>
    <w:rsid w:val="00454D92"/>
    <w:rsid w:val="00454E58"/>
    <w:rsid w:val="0045534A"/>
    <w:rsid w:val="00455F2A"/>
    <w:rsid w:val="00456E70"/>
    <w:rsid w:val="004601DF"/>
    <w:rsid w:val="00465452"/>
    <w:rsid w:val="004714AA"/>
    <w:rsid w:val="00472665"/>
    <w:rsid w:val="00473596"/>
    <w:rsid w:val="00473FA2"/>
    <w:rsid w:val="00474779"/>
    <w:rsid w:val="004767F7"/>
    <w:rsid w:val="00481B7A"/>
    <w:rsid w:val="00482423"/>
    <w:rsid w:val="004857EA"/>
    <w:rsid w:val="004868A6"/>
    <w:rsid w:val="004879DE"/>
    <w:rsid w:val="00494595"/>
    <w:rsid w:val="00495FE8"/>
    <w:rsid w:val="004A1A87"/>
    <w:rsid w:val="004A387B"/>
    <w:rsid w:val="004A5C02"/>
    <w:rsid w:val="004A65B2"/>
    <w:rsid w:val="004B1403"/>
    <w:rsid w:val="004B279A"/>
    <w:rsid w:val="004B4F16"/>
    <w:rsid w:val="004B5407"/>
    <w:rsid w:val="004C1359"/>
    <w:rsid w:val="004C4095"/>
    <w:rsid w:val="004C4B84"/>
    <w:rsid w:val="004D077C"/>
    <w:rsid w:val="004D2F8E"/>
    <w:rsid w:val="004D5129"/>
    <w:rsid w:val="004D5478"/>
    <w:rsid w:val="004D6A50"/>
    <w:rsid w:val="004D717C"/>
    <w:rsid w:val="004E4D73"/>
    <w:rsid w:val="004E688B"/>
    <w:rsid w:val="004F0156"/>
    <w:rsid w:val="004F3C3A"/>
    <w:rsid w:val="004F3CD2"/>
    <w:rsid w:val="004F5B0F"/>
    <w:rsid w:val="004F6F28"/>
    <w:rsid w:val="004F7F3A"/>
    <w:rsid w:val="00501EAD"/>
    <w:rsid w:val="00505353"/>
    <w:rsid w:val="005069D0"/>
    <w:rsid w:val="005075ED"/>
    <w:rsid w:val="005102B0"/>
    <w:rsid w:val="0051066E"/>
    <w:rsid w:val="0051169F"/>
    <w:rsid w:val="00516816"/>
    <w:rsid w:val="005174AA"/>
    <w:rsid w:val="00520A28"/>
    <w:rsid w:val="0052120C"/>
    <w:rsid w:val="00524F44"/>
    <w:rsid w:val="00527353"/>
    <w:rsid w:val="005304D0"/>
    <w:rsid w:val="005319CC"/>
    <w:rsid w:val="00532D1B"/>
    <w:rsid w:val="00532E24"/>
    <w:rsid w:val="00533279"/>
    <w:rsid w:val="00533C96"/>
    <w:rsid w:val="0053694A"/>
    <w:rsid w:val="00536C30"/>
    <w:rsid w:val="005404E1"/>
    <w:rsid w:val="005424EE"/>
    <w:rsid w:val="00543131"/>
    <w:rsid w:val="00543D60"/>
    <w:rsid w:val="00545D38"/>
    <w:rsid w:val="00550305"/>
    <w:rsid w:val="0055039F"/>
    <w:rsid w:val="00551B52"/>
    <w:rsid w:val="005534BE"/>
    <w:rsid w:val="00553A40"/>
    <w:rsid w:val="0055445F"/>
    <w:rsid w:val="005569FB"/>
    <w:rsid w:val="0056027D"/>
    <w:rsid w:val="005605AA"/>
    <w:rsid w:val="0057047A"/>
    <w:rsid w:val="00572E0B"/>
    <w:rsid w:val="00577C78"/>
    <w:rsid w:val="00581150"/>
    <w:rsid w:val="005811E3"/>
    <w:rsid w:val="005909C0"/>
    <w:rsid w:val="00590C4A"/>
    <w:rsid w:val="00592F66"/>
    <w:rsid w:val="00596163"/>
    <w:rsid w:val="005A0B7B"/>
    <w:rsid w:val="005A1778"/>
    <w:rsid w:val="005A399C"/>
    <w:rsid w:val="005A413E"/>
    <w:rsid w:val="005A45F4"/>
    <w:rsid w:val="005A58F4"/>
    <w:rsid w:val="005B1263"/>
    <w:rsid w:val="005B137D"/>
    <w:rsid w:val="005B1D7B"/>
    <w:rsid w:val="005B3575"/>
    <w:rsid w:val="005C01E4"/>
    <w:rsid w:val="005C180D"/>
    <w:rsid w:val="005C44D1"/>
    <w:rsid w:val="005C4C27"/>
    <w:rsid w:val="005C6936"/>
    <w:rsid w:val="005D2FDA"/>
    <w:rsid w:val="005E01C6"/>
    <w:rsid w:val="005E195F"/>
    <w:rsid w:val="005E3128"/>
    <w:rsid w:val="005E4598"/>
    <w:rsid w:val="005E4A8B"/>
    <w:rsid w:val="005E4D0B"/>
    <w:rsid w:val="005E7672"/>
    <w:rsid w:val="005F0EEA"/>
    <w:rsid w:val="005F1247"/>
    <w:rsid w:val="005F2E48"/>
    <w:rsid w:val="005F3462"/>
    <w:rsid w:val="005F6E90"/>
    <w:rsid w:val="005F6F06"/>
    <w:rsid w:val="00600043"/>
    <w:rsid w:val="00600C7F"/>
    <w:rsid w:val="0060212E"/>
    <w:rsid w:val="0060289E"/>
    <w:rsid w:val="00603E3C"/>
    <w:rsid w:val="00604196"/>
    <w:rsid w:val="006041B1"/>
    <w:rsid w:val="00605BB7"/>
    <w:rsid w:val="00606388"/>
    <w:rsid w:val="00606C3A"/>
    <w:rsid w:val="00613DD4"/>
    <w:rsid w:val="00613FBC"/>
    <w:rsid w:val="00614F11"/>
    <w:rsid w:val="00626844"/>
    <w:rsid w:val="00640F08"/>
    <w:rsid w:val="006470EC"/>
    <w:rsid w:val="00650ED9"/>
    <w:rsid w:val="006539E1"/>
    <w:rsid w:val="006554F7"/>
    <w:rsid w:val="0066097C"/>
    <w:rsid w:val="00665117"/>
    <w:rsid w:val="00665277"/>
    <w:rsid w:val="006654AE"/>
    <w:rsid w:val="006703CA"/>
    <w:rsid w:val="00671A92"/>
    <w:rsid w:val="00671B73"/>
    <w:rsid w:val="00673E7B"/>
    <w:rsid w:val="00674265"/>
    <w:rsid w:val="006754AC"/>
    <w:rsid w:val="00676B01"/>
    <w:rsid w:val="00677E05"/>
    <w:rsid w:val="00680636"/>
    <w:rsid w:val="006813E5"/>
    <w:rsid w:val="00681B9E"/>
    <w:rsid w:val="00684FE5"/>
    <w:rsid w:val="00686169"/>
    <w:rsid w:val="006875D1"/>
    <w:rsid w:val="006904B5"/>
    <w:rsid w:val="006935FF"/>
    <w:rsid w:val="00693E42"/>
    <w:rsid w:val="006944EE"/>
    <w:rsid w:val="00696C82"/>
    <w:rsid w:val="006A08B2"/>
    <w:rsid w:val="006A1F27"/>
    <w:rsid w:val="006A461F"/>
    <w:rsid w:val="006B2F9B"/>
    <w:rsid w:val="006B55B1"/>
    <w:rsid w:val="006B6079"/>
    <w:rsid w:val="006B7012"/>
    <w:rsid w:val="006C78F7"/>
    <w:rsid w:val="006D0EED"/>
    <w:rsid w:val="006D3B40"/>
    <w:rsid w:val="006D3BB3"/>
    <w:rsid w:val="006D3D30"/>
    <w:rsid w:val="006D40E6"/>
    <w:rsid w:val="006D65EE"/>
    <w:rsid w:val="006E3194"/>
    <w:rsid w:val="006E3388"/>
    <w:rsid w:val="006E59E5"/>
    <w:rsid w:val="006E65B3"/>
    <w:rsid w:val="006E6E18"/>
    <w:rsid w:val="006F152B"/>
    <w:rsid w:val="006F4CE4"/>
    <w:rsid w:val="006F6F83"/>
    <w:rsid w:val="006F787E"/>
    <w:rsid w:val="00706822"/>
    <w:rsid w:val="0070758A"/>
    <w:rsid w:val="00710268"/>
    <w:rsid w:val="00730DFB"/>
    <w:rsid w:val="007312A0"/>
    <w:rsid w:val="00731DA7"/>
    <w:rsid w:val="00733240"/>
    <w:rsid w:val="0073349E"/>
    <w:rsid w:val="007413C7"/>
    <w:rsid w:val="0074243C"/>
    <w:rsid w:val="00742782"/>
    <w:rsid w:val="007448C5"/>
    <w:rsid w:val="0074518D"/>
    <w:rsid w:val="0074619D"/>
    <w:rsid w:val="007471C3"/>
    <w:rsid w:val="007471EB"/>
    <w:rsid w:val="00751603"/>
    <w:rsid w:val="0075189F"/>
    <w:rsid w:val="00752AA3"/>
    <w:rsid w:val="007603DE"/>
    <w:rsid w:val="007619C2"/>
    <w:rsid w:val="00762D01"/>
    <w:rsid w:val="0076317F"/>
    <w:rsid w:val="0076370C"/>
    <w:rsid w:val="00765AE2"/>
    <w:rsid w:val="00767165"/>
    <w:rsid w:val="00772096"/>
    <w:rsid w:val="007724C3"/>
    <w:rsid w:val="007741C7"/>
    <w:rsid w:val="007820FF"/>
    <w:rsid w:val="0078379B"/>
    <w:rsid w:val="007843FE"/>
    <w:rsid w:val="007844F3"/>
    <w:rsid w:val="007878DC"/>
    <w:rsid w:val="00791BF6"/>
    <w:rsid w:val="00791FA0"/>
    <w:rsid w:val="00795382"/>
    <w:rsid w:val="00796A2A"/>
    <w:rsid w:val="007975EF"/>
    <w:rsid w:val="00797C3F"/>
    <w:rsid w:val="00797EF0"/>
    <w:rsid w:val="00797FE5"/>
    <w:rsid w:val="007A50A1"/>
    <w:rsid w:val="007B0BCD"/>
    <w:rsid w:val="007B3D49"/>
    <w:rsid w:val="007B7735"/>
    <w:rsid w:val="007C07E1"/>
    <w:rsid w:val="007C16EF"/>
    <w:rsid w:val="007C3CCB"/>
    <w:rsid w:val="007C6259"/>
    <w:rsid w:val="007D0A1E"/>
    <w:rsid w:val="007D67DC"/>
    <w:rsid w:val="007D79AB"/>
    <w:rsid w:val="007D7B11"/>
    <w:rsid w:val="007E0962"/>
    <w:rsid w:val="007E144B"/>
    <w:rsid w:val="007E348D"/>
    <w:rsid w:val="007E40EF"/>
    <w:rsid w:val="007E511D"/>
    <w:rsid w:val="007E6F83"/>
    <w:rsid w:val="007E7CE1"/>
    <w:rsid w:val="007F1DAA"/>
    <w:rsid w:val="007F23E5"/>
    <w:rsid w:val="007F26DE"/>
    <w:rsid w:val="007F3E1F"/>
    <w:rsid w:val="007F3E31"/>
    <w:rsid w:val="007F5B7B"/>
    <w:rsid w:val="0080010F"/>
    <w:rsid w:val="00802029"/>
    <w:rsid w:val="00802ED3"/>
    <w:rsid w:val="00805512"/>
    <w:rsid w:val="00810075"/>
    <w:rsid w:val="00810A2F"/>
    <w:rsid w:val="00811D99"/>
    <w:rsid w:val="00812F44"/>
    <w:rsid w:val="008148E0"/>
    <w:rsid w:val="00815841"/>
    <w:rsid w:val="00816602"/>
    <w:rsid w:val="00816640"/>
    <w:rsid w:val="00822350"/>
    <w:rsid w:val="008225E7"/>
    <w:rsid w:val="00822AA2"/>
    <w:rsid w:val="00822AC1"/>
    <w:rsid w:val="00835040"/>
    <w:rsid w:val="00837FF2"/>
    <w:rsid w:val="008403CE"/>
    <w:rsid w:val="00841550"/>
    <w:rsid w:val="00844AD2"/>
    <w:rsid w:val="00846AA8"/>
    <w:rsid w:val="008501B1"/>
    <w:rsid w:val="00852543"/>
    <w:rsid w:val="008556E3"/>
    <w:rsid w:val="008579C7"/>
    <w:rsid w:val="00860085"/>
    <w:rsid w:val="008602EF"/>
    <w:rsid w:val="00861187"/>
    <w:rsid w:val="00862ABE"/>
    <w:rsid w:val="00863133"/>
    <w:rsid w:val="00863DB4"/>
    <w:rsid w:val="00875D21"/>
    <w:rsid w:val="00876FFF"/>
    <w:rsid w:val="00877B99"/>
    <w:rsid w:val="0088042D"/>
    <w:rsid w:val="00880A28"/>
    <w:rsid w:val="00884428"/>
    <w:rsid w:val="00884575"/>
    <w:rsid w:val="00890E9C"/>
    <w:rsid w:val="00891AB1"/>
    <w:rsid w:val="00895239"/>
    <w:rsid w:val="00896619"/>
    <w:rsid w:val="008A0281"/>
    <w:rsid w:val="008A0EA7"/>
    <w:rsid w:val="008A430A"/>
    <w:rsid w:val="008A593B"/>
    <w:rsid w:val="008A7002"/>
    <w:rsid w:val="008B1F59"/>
    <w:rsid w:val="008B2F70"/>
    <w:rsid w:val="008B34C9"/>
    <w:rsid w:val="008B5F85"/>
    <w:rsid w:val="008C327F"/>
    <w:rsid w:val="008D0B84"/>
    <w:rsid w:val="008D2997"/>
    <w:rsid w:val="008D2DE0"/>
    <w:rsid w:val="008D5B9E"/>
    <w:rsid w:val="008D6FD4"/>
    <w:rsid w:val="008E4116"/>
    <w:rsid w:val="008E4828"/>
    <w:rsid w:val="008E6B15"/>
    <w:rsid w:val="008F05EC"/>
    <w:rsid w:val="008F2D39"/>
    <w:rsid w:val="008F36BD"/>
    <w:rsid w:val="008F37C9"/>
    <w:rsid w:val="008F3DAA"/>
    <w:rsid w:val="00902C48"/>
    <w:rsid w:val="0091083C"/>
    <w:rsid w:val="009158CC"/>
    <w:rsid w:val="009179FB"/>
    <w:rsid w:val="00920E3E"/>
    <w:rsid w:val="009219D8"/>
    <w:rsid w:val="00921BF5"/>
    <w:rsid w:val="00924849"/>
    <w:rsid w:val="0092511B"/>
    <w:rsid w:val="009261F2"/>
    <w:rsid w:val="00930A3F"/>
    <w:rsid w:val="00930A89"/>
    <w:rsid w:val="0093231B"/>
    <w:rsid w:val="00932C6F"/>
    <w:rsid w:val="009337E8"/>
    <w:rsid w:val="009358B6"/>
    <w:rsid w:val="00940875"/>
    <w:rsid w:val="00941A5C"/>
    <w:rsid w:val="00942C4D"/>
    <w:rsid w:val="00950724"/>
    <w:rsid w:val="00950A48"/>
    <w:rsid w:val="00956BC6"/>
    <w:rsid w:val="009609A9"/>
    <w:rsid w:val="00960E07"/>
    <w:rsid w:val="009622F8"/>
    <w:rsid w:val="009668C5"/>
    <w:rsid w:val="00967E4A"/>
    <w:rsid w:val="00967F22"/>
    <w:rsid w:val="009729E9"/>
    <w:rsid w:val="0097531D"/>
    <w:rsid w:val="00975EE7"/>
    <w:rsid w:val="009766B0"/>
    <w:rsid w:val="009775DD"/>
    <w:rsid w:val="00982448"/>
    <w:rsid w:val="00985552"/>
    <w:rsid w:val="00987D0D"/>
    <w:rsid w:val="00987D5F"/>
    <w:rsid w:val="00990676"/>
    <w:rsid w:val="00991400"/>
    <w:rsid w:val="00991BF1"/>
    <w:rsid w:val="00991D40"/>
    <w:rsid w:val="00997421"/>
    <w:rsid w:val="009A00CB"/>
    <w:rsid w:val="009A1699"/>
    <w:rsid w:val="009A194C"/>
    <w:rsid w:val="009A34E0"/>
    <w:rsid w:val="009A43B7"/>
    <w:rsid w:val="009A44A9"/>
    <w:rsid w:val="009B0E0D"/>
    <w:rsid w:val="009B420D"/>
    <w:rsid w:val="009B447F"/>
    <w:rsid w:val="009B4910"/>
    <w:rsid w:val="009B7DB2"/>
    <w:rsid w:val="009C00E7"/>
    <w:rsid w:val="009C0E9D"/>
    <w:rsid w:val="009C1C80"/>
    <w:rsid w:val="009C3CC2"/>
    <w:rsid w:val="009C6BA6"/>
    <w:rsid w:val="009D0FD3"/>
    <w:rsid w:val="009D36B3"/>
    <w:rsid w:val="009D485A"/>
    <w:rsid w:val="009D4B26"/>
    <w:rsid w:val="009D78B6"/>
    <w:rsid w:val="009E2819"/>
    <w:rsid w:val="009E3768"/>
    <w:rsid w:val="009F070B"/>
    <w:rsid w:val="009F36DF"/>
    <w:rsid w:val="009F38F1"/>
    <w:rsid w:val="009F5295"/>
    <w:rsid w:val="009F746C"/>
    <w:rsid w:val="009F7609"/>
    <w:rsid w:val="00A00B08"/>
    <w:rsid w:val="00A053B7"/>
    <w:rsid w:val="00A05BAE"/>
    <w:rsid w:val="00A06487"/>
    <w:rsid w:val="00A11862"/>
    <w:rsid w:val="00A13255"/>
    <w:rsid w:val="00A1646A"/>
    <w:rsid w:val="00A1720B"/>
    <w:rsid w:val="00A20B30"/>
    <w:rsid w:val="00A22354"/>
    <w:rsid w:val="00A23184"/>
    <w:rsid w:val="00A25EBA"/>
    <w:rsid w:val="00A31910"/>
    <w:rsid w:val="00A35285"/>
    <w:rsid w:val="00A401CE"/>
    <w:rsid w:val="00A42767"/>
    <w:rsid w:val="00A430F6"/>
    <w:rsid w:val="00A43C92"/>
    <w:rsid w:val="00A45624"/>
    <w:rsid w:val="00A473A0"/>
    <w:rsid w:val="00A477E3"/>
    <w:rsid w:val="00A552D9"/>
    <w:rsid w:val="00A56162"/>
    <w:rsid w:val="00A56E24"/>
    <w:rsid w:val="00A617F3"/>
    <w:rsid w:val="00A621DF"/>
    <w:rsid w:val="00A63B4F"/>
    <w:rsid w:val="00A63EF0"/>
    <w:rsid w:val="00A640F8"/>
    <w:rsid w:val="00A67C49"/>
    <w:rsid w:val="00A7475A"/>
    <w:rsid w:val="00A7524A"/>
    <w:rsid w:val="00A77812"/>
    <w:rsid w:val="00A85C88"/>
    <w:rsid w:val="00A87EE4"/>
    <w:rsid w:val="00A92FA6"/>
    <w:rsid w:val="00A93BC3"/>
    <w:rsid w:val="00A95785"/>
    <w:rsid w:val="00A9618A"/>
    <w:rsid w:val="00A9644D"/>
    <w:rsid w:val="00A9787C"/>
    <w:rsid w:val="00AA3F4F"/>
    <w:rsid w:val="00AA4A11"/>
    <w:rsid w:val="00AA5816"/>
    <w:rsid w:val="00AA7567"/>
    <w:rsid w:val="00AB020C"/>
    <w:rsid w:val="00AB2248"/>
    <w:rsid w:val="00AB2AB0"/>
    <w:rsid w:val="00AB41DC"/>
    <w:rsid w:val="00AC0BA0"/>
    <w:rsid w:val="00AC15EE"/>
    <w:rsid w:val="00AC1BA6"/>
    <w:rsid w:val="00AC20CC"/>
    <w:rsid w:val="00AC23D8"/>
    <w:rsid w:val="00AC3153"/>
    <w:rsid w:val="00AC44E0"/>
    <w:rsid w:val="00AC4A05"/>
    <w:rsid w:val="00AC6AF9"/>
    <w:rsid w:val="00AD2F87"/>
    <w:rsid w:val="00AD4361"/>
    <w:rsid w:val="00AE0979"/>
    <w:rsid w:val="00AE24A6"/>
    <w:rsid w:val="00AE4B3D"/>
    <w:rsid w:val="00AE51D0"/>
    <w:rsid w:val="00AE6B10"/>
    <w:rsid w:val="00AE752E"/>
    <w:rsid w:val="00AE7B5D"/>
    <w:rsid w:val="00AE7F4A"/>
    <w:rsid w:val="00AF08E7"/>
    <w:rsid w:val="00AF1ED8"/>
    <w:rsid w:val="00AF22E8"/>
    <w:rsid w:val="00AF2794"/>
    <w:rsid w:val="00AF3FF6"/>
    <w:rsid w:val="00AF6B66"/>
    <w:rsid w:val="00B03407"/>
    <w:rsid w:val="00B11D19"/>
    <w:rsid w:val="00B1239E"/>
    <w:rsid w:val="00B15015"/>
    <w:rsid w:val="00B15468"/>
    <w:rsid w:val="00B163A3"/>
    <w:rsid w:val="00B21056"/>
    <w:rsid w:val="00B21C72"/>
    <w:rsid w:val="00B2424C"/>
    <w:rsid w:val="00B24F6B"/>
    <w:rsid w:val="00B250F1"/>
    <w:rsid w:val="00B32F7F"/>
    <w:rsid w:val="00B33BED"/>
    <w:rsid w:val="00B343FD"/>
    <w:rsid w:val="00B35A43"/>
    <w:rsid w:val="00B36F67"/>
    <w:rsid w:val="00B416FB"/>
    <w:rsid w:val="00B4452B"/>
    <w:rsid w:val="00B44546"/>
    <w:rsid w:val="00B44751"/>
    <w:rsid w:val="00B54C23"/>
    <w:rsid w:val="00B55914"/>
    <w:rsid w:val="00B573DA"/>
    <w:rsid w:val="00B6140F"/>
    <w:rsid w:val="00B61760"/>
    <w:rsid w:val="00B66D87"/>
    <w:rsid w:val="00B726A5"/>
    <w:rsid w:val="00B73BF8"/>
    <w:rsid w:val="00B74A42"/>
    <w:rsid w:val="00B75A1F"/>
    <w:rsid w:val="00B81D47"/>
    <w:rsid w:val="00B829CB"/>
    <w:rsid w:val="00B84937"/>
    <w:rsid w:val="00B9065D"/>
    <w:rsid w:val="00B91EDC"/>
    <w:rsid w:val="00B92934"/>
    <w:rsid w:val="00B95307"/>
    <w:rsid w:val="00BA372F"/>
    <w:rsid w:val="00BA744F"/>
    <w:rsid w:val="00BB00BC"/>
    <w:rsid w:val="00BB01A9"/>
    <w:rsid w:val="00BB072D"/>
    <w:rsid w:val="00BB15FA"/>
    <w:rsid w:val="00BB18C3"/>
    <w:rsid w:val="00BB41CE"/>
    <w:rsid w:val="00BB4D21"/>
    <w:rsid w:val="00BC04EE"/>
    <w:rsid w:val="00BC1087"/>
    <w:rsid w:val="00BC119E"/>
    <w:rsid w:val="00BC35B4"/>
    <w:rsid w:val="00BC37DB"/>
    <w:rsid w:val="00BC58AA"/>
    <w:rsid w:val="00BD0697"/>
    <w:rsid w:val="00BD0932"/>
    <w:rsid w:val="00BD3901"/>
    <w:rsid w:val="00BD3DC3"/>
    <w:rsid w:val="00BD46FE"/>
    <w:rsid w:val="00BD4A7E"/>
    <w:rsid w:val="00BD56DA"/>
    <w:rsid w:val="00BD73F7"/>
    <w:rsid w:val="00BE010C"/>
    <w:rsid w:val="00BE08BD"/>
    <w:rsid w:val="00BE196A"/>
    <w:rsid w:val="00BE5777"/>
    <w:rsid w:val="00BF0C3C"/>
    <w:rsid w:val="00BF2F7E"/>
    <w:rsid w:val="00BF3217"/>
    <w:rsid w:val="00BF330F"/>
    <w:rsid w:val="00C00787"/>
    <w:rsid w:val="00C13E2A"/>
    <w:rsid w:val="00C1565C"/>
    <w:rsid w:val="00C17D7A"/>
    <w:rsid w:val="00C25945"/>
    <w:rsid w:val="00C27A67"/>
    <w:rsid w:val="00C3029C"/>
    <w:rsid w:val="00C335F6"/>
    <w:rsid w:val="00C34342"/>
    <w:rsid w:val="00C36124"/>
    <w:rsid w:val="00C37AFB"/>
    <w:rsid w:val="00C37E42"/>
    <w:rsid w:val="00C4040A"/>
    <w:rsid w:val="00C408A7"/>
    <w:rsid w:val="00C41384"/>
    <w:rsid w:val="00C42FD0"/>
    <w:rsid w:val="00C4578A"/>
    <w:rsid w:val="00C52018"/>
    <w:rsid w:val="00C520CC"/>
    <w:rsid w:val="00C532BB"/>
    <w:rsid w:val="00C53EF4"/>
    <w:rsid w:val="00C5665F"/>
    <w:rsid w:val="00C56C34"/>
    <w:rsid w:val="00C621EF"/>
    <w:rsid w:val="00C638FB"/>
    <w:rsid w:val="00C639AB"/>
    <w:rsid w:val="00C6525A"/>
    <w:rsid w:val="00C65A9F"/>
    <w:rsid w:val="00C726D0"/>
    <w:rsid w:val="00C731AF"/>
    <w:rsid w:val="00C732E6"/>
    <w:rsid w:val="00C75705"/>
    <w:rsid w:val="00C80BC0"/>
    <w:rsid w:val="00C8391A"/>
    <w:rsid w:val="00C867A3"/>
    <w:rsid w:val="00C8717A"/>
    <w:rsid w:val="00C8791E"/>
    <w:rsid w:val="00C94CAA"/>
    <w:rsid w:val="00C950AC"/>
    <w:rsid w:val="00C96AF3"/>
    <w:rsid w:val="00C9784B"/>
    <w:rsid w:val="00CA120A"/>
    <w:rsid w:val="00CA2ACD"/>
    <w:rsid w:val="00CA3AB8"/>
    <w:rsid w:val="00CA6BF3"/>
    <w:rsid w:val="00CA70F9"/>
    <w:rsid w:val="00CA79FC"/>
    <w:rsid w:val="00CA7E25"/>
    <w:rsid w:val="00CB328C"/>
    <w:rsid w:val="00CB367C"/>
    <w:rsid w:val="00CC1702"/>
    <w:rsid w:val="00CC5053"/>
    <w:rsid w:val="00CC51EC"/>
    <w:rsid w:val="00CD4158"/>
    <w:rsid w:val="00CD42BF"/>
    <w:rsid w:val="00CD50AC"/>
    <w:rsid w:val="00CD56D2"/>
    <w:rsid w:val="00CE3830"/>
    <w:rsid w:val="00CE68D2"/>
    <w:rsid w:val="00CF108D"/>
    <w:rsid w:val="00CF24BC"/>
    <w:rsid w:val="00CF3AB5"/>
    <w:rsid w:val="00CF3C1E"/>
    <w:rsid w:val="00CF4863"/>
    <w:rsid w:val="00CF548A"/>
    <w:rsid w:val="00CF59DB"/>
    <w:rsid w:val="00CF6404"/>
    <w:rsid w:val="00CF6B93"/>
    <w:rsid w:val="00D04437"/>
    <w:rsid w:val="00D04E67"/>
    <w:rsid w:val="00D10A00"/>
    <w:rsid w:val="00D11D45"/>
    <w:rsid w:val="00D14695"/>
    <w:rsid w:val="00D1550A"/>
    <w:rsid w:val="00D159FD"/>
    <w:rsid w:val="00D16DA1"/>
    <w:rsid w:val="00D201ED"/>
    <w:rsid w:val="00D20B08"/>
    <w:rsid w:val="00D2333D"/>
    <w:rsid w:val="00D23D12"/>
    <w:rsid w:val="00D248D0"/>
    <w:rsid w:val="00D30CC5"/>
    <w:rsid w:val="00D3327F"/>
    <w:rsid w:val="00D338DD"/>
    <w:rsid w:val="00D35467"/>
    <w:rsid w:val="00D41421"/>
    <w:rsid w:val="00D45807"/>
    <w:rsid w:val="00D45A3A"/>
    <w:rsid w:val="00D461F4"/>
    <w:rsid w:val="00D46815"/>
    <w:rsid w:val="00D522AF"/>
    <w:rsid w:val="00D52B63"/>
    <w:rsid w:val="00D54B88"/>
    <w:rsid w:val="00D564FF"/>
    <w:rsid w:val="00D607A5"/>
    <w:rsid w:val="00D61013"/>
    <w:rsid w:val="00D61D94"/>
    <w:rsid w:val="00D63538"/>
    <w:rsid w:val="00D649C2"/>
    <w:rsid w:val="00D655E2"/>
    <w:rsid w:val="00D6763F"/>
    <w:rsid w:val="00D67ACC"/>
    <w:rsid w:val="00D72A17"/>
    <w:rsid w:val="00D73810"/>
    <w:rsid w:val="00D741ED"/>
    <w:rsid w:val="00D753E8"/>
    <w:rsid w:val="00D7635B"/>
    <w:rsid w:val="00D76430"/>
    <w:rsid w:val="00D7681B"/>
    <w:rsid w:val="00D77CBC"/>
    <w:rsid w:val="00D80034"/>
    <w:rsid w:val="00D82F1C"/>
    <w:rsid w:val="00D87B35"/>
    <w:rsid w:val="00D92E55"/>
    <w:rsid w:val="00D930BA"/>
    <w:rsid w:val="00D93AED"/>
    <w:rsid w:val="00D95DDB"/>
    <w:rsid w:val="00D96AC1"/>
    <w:rsid w:val="00DA00FD"/>
    <w:rsid w:val="00DA0589"/>
    <w:rsid w:val="00DA25D3"/>
    <w:rsid w:val="00DA2EA0"/>
    <w:rsid w:val="00DA4C8D"/>
    <w:rsid w:val="00DA4F31"/>
    <w:rsid w:val="00DA5A46"/>
    <w:rsid w:val="00DA5E27"/>
    <w:rsid w:val="00DA67C3"/>
    <w:rsid w:val="00DA7DCE"/>
    <w:rsid w:val="00DB3284"/>
    <w:rsid w:val="00DB5B8A"/>
    <w:rsid w:val="00DB5CB6"/>
    <w:rsid w:val="00DB64F0"/>
    <w:rsid w:val="00DC0B11"/>
    <w:rsid w:val="00DC2EDA"/>
    <w:rsid w:val="00DC6318"/>
    <w:rsid w:val="00DC7ADC"/>
    <w:rsid w:val="00DD113E"/>
    <w:rsid w:val="00DD3D67"/>
    <w:rsid w:val="00DD627C"/>
    <w:rsid w:val="00DD6CDF"/>
    <w:rsid w:val="00DD6F5F"/>
    <w:rsid w:val="00DE4F83"/>
    <w:rsid w:val="00DF334A"/>
    <w:rsid w:val="00DF794D"/>
    <w:rsid w:val="00E003A6"/>
    <w:rsid w:val="00E04CA8"/>
    <w:rsid w:val="00E05234"/>
    <w:rsid w:val="00E058E9"/>
    <w:rsid w:val="00E13D4C"/>
    <w:rsid w:val="00E14496"/>
    <w:rsid w:val="00E15DE9"/>
    <w:rsid w:val="00E21628"/>
    <w:rsid w:val="00E22714"/>
    <w:rsid w:val="00E229B2"/>
    <w:rsid w:val="00E22C09"/>
    <w:rsid w:val="00E242BD"/>
    <w:rsid w:val="00E252A1"/>
    <w:rsid w:val="00E25757"/>
    <w:rsid w:val="00E27499"/>
    <w:rsid w:val="00E32FCC"/>
    <w:rsid w:val="00E41D92"/>
    <w:rsid w:val="00E4218A"/>
    <w:rsid w:val="00E42594"/>
    <w:rsid w:val="00E441F3"/>
    <w:rsid w:val="00E469A0"/>
    <w:rsid w:val="00E47E27"/>
    <w:rsid w:val="00E506EF"/>
    <w:rsid w:val="00E55416"/>
    <w:rsid w:val="00E55859"/>
    <w:rsid w:val="00E55B0E"/>
    <w:rsid w:val="00E57380"/>
    <w:rsid w:val="00E64CC0"/>
    <w:rsid w:val="00E65D67"/>
    <w:rsid w:val="00E66FAD"/>
    <w:rsid w:val="00E716D9"/>
    <w:rsid w:val="00E8040A"/>
    <w:rsid w:val="00E853A8"/>
    <w:rsid w:val="00E85B7A"/>
    <w:rsid w:val="00E87E57"/>
    <w:rsid w:val="00E95911"/>
    <w:rsid w:val="00EA17DD"/>
    <w:rsid w:val="00EA18AF"/>
    <w:rsid w:val="00EA756A"/>
    <w:rsid w:val="00EB2B76"/>
    <w:rsid w:val="00EB54CE"/>
    <w:rsid w:val="00EB5B74"/>
    <w:rsid w:val="00EB77F8"/>
    <w:rsid w:val="00EC1B94"/>
    <w:rsid w:val="00EC4A13"/>
    <w:rsid w:val="00EC5531"/>
    <w:rsid w:val="00EC5AE2"/>
    <w:rsid w:val="00EC5E34"/>
    <w:rsid w:val="00ED16A5"/>
    <w:rsid w:val="00ED1B7F"/>
    <w:rsid w:val="00ED1FD6"/>
    <w:rsid w:val="00ED753F"/>
    <w:rsid w:val="00ED7B83"/>
    <w:rsid w:val="00EE04A8"/>
    <w:rsid w:val="00EE3B00"/>
    <w:rsid w:val="00EE3F63"/>
    <w:rsid w:val="00EE5779"/>
    <w:rsid w:val="00EF0E8A"/>
    <w:rsid w:val="00EF1D3A"/>
    <w:rsid w:val="00EF28B6"/>
    <w:rsid w:val="00F01AAD"/>
    <w:rsid w:val="00F02998"/>
    <w:rsid w:val="00F02B54"/>
    <w:rsid w:val="00F037C4"/>
    <w:rsid w:val="00F04C2C"/>
    <w:rsid w:val="00F05B9A"/>
    <w:rsid w:val="00F05E89"/>
    <w:rsid w:val="00F10461"/>
    <w:rsid w:val="00F106BC"/>
    <w:rsid w:val="00F10FED"/>
    <w:rsid w:val="00F16BDE"/>
    <w:rsid w:val="00F22571"/>
    <w:rsid w:val="00F249EB"/>
    <w:rsid w:val="00F308C5"/>
    <w:rsid w:val="00F32033"/>
    <w:rsid w:val="00F35B03"/>
    <w:rsid w:val="00F3714D"/>
    <w:rsid w:val="00F376F3"/>
    <w:rsid w:val="00F40A2F"/>
    <w:rsid w:val="00F43FF6"/>
    <w:rsid w:val="00F50828"/>
    <w:rsid w:val="00F51DD1"/>
    <w:rsid w:val="00F51FC6"/>
    <w:rsid w:val="00F5365C"/>
    <w:rsid w:val="00F56DCA"/>
    <w:rsid w:val="00F63117"/>
    <w:rsid w:val="00F65874"/>
    <w:rsid w:val="00F74D59"/>
    <w:rsid w:val="00F759EB"/>
    <w:rsid w:val="00F75D0C"/>
    <w:rsid w:val="00F7607F"/>
    <w:rsid w:val="00F818F7"/>
    <w:rsid w:val="00F82362"/>
    <w:rsid w:val="00F85693"/>
    <w:rsid w:val="00F87384"/>
    <w:rsid w:val="00F90A87"/>
    <w:rsid w:val="00F9208B"/>
    <w:rsid w:val="00F947A0"/>
    <w:rsid w:val="00FA088B"/>
    <w:rsid w:val="00FA2CCE"/>
    <w:rsid w:val="00FA31BF"/>
    <w:rsid w:val="00FA6254"/>
    <w:rsid w:val="00FA6A6F"/>
    <w:rsid w:val="00FA7371"/>
    <w:rsid w:val="00FA75D1"/>
    <w:rsid w:val="00FB0BC4"/>
    <w:rsid w:val="00FB0CF8"/>
    <w:rsid w:val="00FB7946"/>
    <w:rsid w:val="00FC0FE0"/>
    <w:rsid w:val="00FC2168"/>
    <w:rsid w:val="00FC333C"/>
    <w:rsid w:val="00FD03D2"/>
    <w:rsid w:val="00FD16AA"/>
    <w:rsid w:val="00FD20CB"/>
    <w:rsid w:val="00FD4BFE"/>
    <w:rsid w:val="00FD5098"/>
    <w:rsid w:val="00FD608B"/>
    <w:rsid w:val="00FD713D"/>
    <w:rsid w:val="00FE0C1B"/>
    <w:rsid w:val="00FE27E2"/>
    <w:rsid w:val="00FE3265"/>
    <w:rsid w:val="00FE6387"/>
    <w:rsid w:val="00FE6F30"/>
    <w:rsid w:val="00FF301B"/>
    <w:rsid w:val="00FF658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unhideWhenUsed="0"/>
    <w:lsdException w:name="toc 7" w:uiPriority="39" w:unhideWhenUsed="0"/>
    <w:lsdException w:name="toc 8" w:uiPriority="39" w:unhideWhenUsed="0"/>
    <w:lsdException w:name="toc 9" w:uiPriority="39" w:unhideWhenUsed="0"/>
    <w:lsdException w:name="caption" w:uiPriority="35" w:qFormat="1"/>
    <w:lsdException w:name="endnote reference" w:uiPriority="0"/>
    <w:lsdException w:name="endnote text" w:uiPriority="0"/>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Number 2" w:qFormat="1"/>
    <w:lsdException w:name="List Number 3" w:qFormat="1"/>
    <w:lsdException w:name="Title" w:semiHidden="0" w:uiPriority="10" w:unhideWhenUsed="0" w:qFormat="1"/>
    <w:lsdException w:name="Default Paragraph Font" w:uiPriority="1"/>
    <w:lsdException w:name="Body Text" w:uiPriority="0" w:qFormat="1"/>
    <w:lsdException w:name="List Continue" w:qFormat="1"/>
    <w:lsdException w:name="List Continue 2" w:qFormat="1"/>
    <w:lsdException w:name="List Continue 3" w:qFormat="1"/>
    <w:lsdException w:name="List Continue 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AC1"/>
    <w:pPr>
      <w:jc w:val="both"/>
    </w:pPr>
    <w:rPr>
      <w:rFonts w:ascii="Tahoma" w:hAnsi="Tahoma"/>
      <w:szCs w:val="22"/>
      <w:lang w:eastAsia="en-US"/>
    </w:rPr>
  </w:style>
  <w:style w:type="paragraph" w:styleId="Titre1">
    <w:name w:val="heading 1"/>
    <w:basedOn w:val="Normal"/>
    <w:next w:val="Corpsdetexte"/>
    <w:link w:val="Titre1Car"/>
    <w:uiPriority w:val="9"/>
    <w:qFormat/>
    <w:rsid w:val="002C3808"/>
    <w:pPr>
      <w:keepNext/>
      <w:keepLines/>
      <w:pageBreakBefore/>
      <w:numPr>
        <w:numId w:val="8"/>
      </w:numPr>
      <w:spacing w:after="200"/>
      <w:outlineLvl w:val="0"/>
    </w:pPr>
    <w:rPr>
      <w:b/>
      <w:bCs/>
      <w:caps/>
      <w:color w:val="339966"/>
      <w:sz w:val="22"/>
      <w:szCs w:val="28"/>
    </w:rPr>
  </w:style>
  <w:style w:type="paragraph" w:styleId="Titre2">
    <w:name w:val="heading 2"/>
    <w:basedOn w:val="Normal"/>
    <w:next w:val="Corpsdetexte"/>
    <w:link w:val="Titre2Car"/>
    <w:uiPriority w:val="9"/>
    <w:qFormat/>
    <w:rsid w:val="002C3808"/>
    <w:pPr>
      <w:keepNext/>
      <w:keepLines/>
      <w:numPr>
        <w:ilvl w:val="1"/>
        <w:numId w:val="8"/>
      </w:numPr>
      <w:spacing w:after="200"/>
      <w:outlineLvl w:val="1"/>
    </w:pPr>
    <w:rPr>
      <w:b/>
      <w:bCs/>
      <w:color w:val="339966"/>
      <w:sz w:val="22"/>
      <w:szCs w:val="26"/>
    </w:rPr>
  </w:style>
  <w:style w:type="paragraph" w:styleId="Titre3">
    <w:name w:val="heading 3"/>
    <w:basedOn w:val="Normal"/>
    <w:next w:val="Corpsdetexte"/>
    <w:link w:val="Titre3Car"/>
    <w:uiPriority w:val="9"/>
    <w:qFormat/>
    <w:rsid w:val="002C3808"/>
    <w:pPr>
      <w:keepNext/>
      <w:keepLines/>
      <w:numPr>
        <w:ilvl w:val="2"/>
        <w:numId w:val="8"/>
      </w:numPr>
      <w:spacing w:after="200"/>
      <w:outlineLvl w:val="2"/>
    </w:pPr>
    <w:rPr>
      <w:b/>
      <w:bCs/>
      <w:color w:val="339966"/>
    </w:rPr>
  </w:style>
  <w:style w:type="paragraph" w:styleId="Titre4">
    <w:name w:val="heading 4"/>
    <w:basedOn w:val="Normal"/>
    <w:next w:val="Corpsdetexte"/>
    <w:link w:val="Titre4Car"/>
    <w:uiPriority w:val="9"/>
    <w:qFormat/>
    <w:rsid w:val="002C3808"/>
    <w:pPr>
      <w:keepNext/>
      <w:keepLines/>
      <w:ind w:left="720"/>
      <w:outlineLvl w:val="3"/>
    </w:pPr>
    <w:rPr>
      <w:b/>
      <w:bCs/>
      <w:i/>
      <w:iCs/>
      <w:color w:val="339966"/>
    </w:rPr>
  </w:style>
  <w:style w:type="paragraph" w:styleId="Titre5">
    <w:name w:val="heading 5"/>
    <w:basedOn w:val="Normal"/>
    <w:next w:val="Corpsdetexte"/>
    <w:link w:val="Titre5Car"/>
    <w:uiPriority w:val="9"/>
    <w:qFormat/>
    <w:rsid w:val="002C3808"/>
    <w:pPr>
      <w:keepNext/>
      <w:keepLines/>
      <w:ind w:left="720"/>
      <w:outlineLvl w:val="4"/>
    </w:pPr>
    <w:rPr>
      <w:color w:val="339966"/>
      <w:u w:val="single"/>
    </w:rPr>
  </w:style>
  <w:style w:type="paragraph" w:styleId="Titre6">
    <w:name w:val="heading 6"/>
    <w:basedOn w:val="Normal"/>
    <w:next w:val="Normal"/>
    <w:link w:val="Titre6Car"/>
    <w:uiPriority w:val="9"/>
    <w:qFormat/>
    <w:rsid w:val="00310652"/>
    <w:pPr>
      <w:keepNext/>
      <w:keepLines/>
      <w:spacing w:before="200"/>
      <w:outlineLvl w:val="5"/>
    </w:pPr>
    <w:rPr>
      <w:rFonts w:eastAsia="Times New Roman"/>
      <w:i/>
      <w:iCs/>
      <w:sz w:val="22"/>
    </w:rPr>
  </w:style>
  <w:style w:type="paragraph" w:styleId="Titre7">
    <w:name w:val="heading 7"/>
    <w:basedOn w:val="Normal"/>
    <w:next w:val="Normal"/>
    <w:link w:val="Titre7Car"/>
    <w:uiPriority w:val="9"/>
    <w:qFormat/>
    <w:rsid w:val="0088042D"/>
    <w:pPr>
      <w:keepNext/>
      <w:keepLines/>
      <w:spacing w:before="200"/>
      <w:outlineLvl w:val="6"/>
    </w:pPr>
    <w:rPr>
      <w:rFonts w:ascii="Cambria" w:eastAsia="Times New Roman" w:hAnsi="Cambria"/>
      <w:i/>
      <w:iCs/>
      <w:color w:val="40404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aliases w:val="Body Text2,Document,Tempo Body Text,bt,body text,BODY TEXT,t,Tempo Body Text1,Tempo Body Text2,Tempo Body Text3,Tempo Body Text4,Tempo Body Text5,Tempo Body Text6,Tempo Body Text7,Tempo Body Text8,Tempo Body Text9,b,Body,P,body,Text,Bod"/>
    <w:basedOn w:val="Normal"/>
    <w:link w:val="CorpsdetexteCar"/>
    <w:qFormat/>
    <w:rsid w:val="001356F4"/>
    <w:pPr>
      <w:spacing w:after="165" w:line="240" w:lineRule="atLeast"/>
      <w:ind w:left="720"/>
    </w:pPr>
  </w:style>
  <w:style w:type="character" w:customStyle="1" w:styleId="CorpsdetexteCar">
    <w:name w:val="Corps de texte Car"/>
    <w:aliases w:val="Body Text2 Car,Document Car,Tempo Body Text Car,bt Car,body text Car,BODY TEXT Car,t Car,Tempo Body Text1 Car,Tempo Body Text2 Car,Tempo Body Text3 Car,Tempo Body Text4 Car,Tempo Body Text5 Car,Tempo Body Text6 Car,b Car,Body Car"/>
    <w:link w:val="Corpsdetexte"/>
    <w:rsid w:val="001356F4"/>
    <w:rPr>
      <w:rFonts w:ascii="Tahoma" w:eastAsia="Calibri" w:hAnsi="Tahoma"/>
      <w:szCs w:val="22"/>
      <w:lang w:val="en-GB" w:eastAsia="en-US" w:bidi="ar-SA"/>
    </w:rPr>
  </w:style>
  <w:style w:type="character" w:customStyle="1" w:styleId="Titre1Car">
    <w:name w:val="Titre 1 Car"/>
    <w:link w:val="Titre1"/>
    <w:uiPriority w:val="9"/>
    <w:rsid w:val="002C3808"/>
    <w:rPr>
      <w:rFonts w:ascii="Tahoma" w:hAnsi="Tahoma"/>
      <w:b/>
      <w:bCs/>
      <w:caps/>
      <w:color w:val="339966"/>
      <w:sz w:val="22"/>
      <w:szCs w:val="28"/>
      <w:lang w:eastAsia="en-US"/>
    </w:rPr>
  </w:style>
  <w:style w:type="character" w:customStyle="1" w:styleId="Titre2Car">
    <w:name w:val="Titre 2 Car"/>
    <w:link w:val="Titre2"/>
    <w:uiPriority w:val="9"/>
    <w:rsid w:val="002C3808"/>
    <w:rPr>
      <w:rFonts w:ascii="Tahoma" w:hAnsi="Tahoma"/>
      <w:b/>
      <w:bCs/>
      <w:color w:val="339966"/>
      <w:sz w:val="22"/>
      <w:szCs w:val="26"/>
      <w:lang w:eastAsia="en-US"/>
    </w:rPr>
  </w:style>
  <w:style w:type="character" w:customStyle="1" w:styleId="Titre3Car">
    <w:name w:val="Titre 3 Car"/>
    <w:link w:val="Titre3"/>
    <w:uiPriority w:val="9"/>
    <w:rsid w:val="002C3808"/>
    <w:rPr>
      <w:rFonts w:ascii="Tahoma" w:hAnsi="Tahoma"/>
      <w:b/>
      <w:bCs/>
      <w:color w:val="339966"/>
      <w:szCs w:val="22"/>
      <w:lang w:eastAsia="en-US"/>
    </w:rPr>
  </w:style>
  <w:style w:type="character" w:customStyle="1" w:styleId="Titre4Car">
    <w:name w:val="Titre 4 Car"/>
    <w:link w:val="Titre4"/>
    <w:uiPriority w:val="9"/>
    <w:semiHidden/>
    <w:rsid w:val="002C3808"/>
    <w:rPr>
      <w:rFonts w:ascii="Tahoma" w:hAnsi="Tahoma"/>
      <w:b/>
      <w:bCs/>
      <w:i/>
      <w:iCs/>
      <w:color w:val="339966"/>
      <w:szCs w:val="22"/>
      <w:lang w:val="en-GB" w:eastAsia="en-US" w:bidi="ar-SA"/>
    </w:rPr>
  </w:style>
  <w:style w:type="character" w:customStyle="1" w:styleId="Titre5Car">
    <w:name w:val="Titre 5 Car"/>
    <w:link w:val="Titre5"/>
    <w:uiPriority w:val="9"/>
    <w:semiHidden/>
    <w:rsid w:val="002C3808"/>
    <w:rPr>
      <w:rFonts w:ascii="Tahoma" w:hAnsi="Tahoma"/>
      <w:color w:val="339966"/>
      <w:szCs w:val="22"/>
      <w:u w:val="single"/>
      <w:lang w:val="en-GB" w:eastAsia="en-US" w:bidi="ar-SA"/>
    </w:rPr>
  </w:style>
  <w:style w:type="character" w:customStyle="1" w:styleId="Titre6Car">
    <w:name w:val="Titre 6 Car"/>
    <w:link w:val="Titre6"/>
    <w:uiPriority w:val="9"/>
    <w:semiHidden/>
    <w:rsid w:val="007E7CE1"/>
    <w:rPr>
      <w:rFonts w:ascii="Tahoma" w:eastAsia="Times New Roman" w:hAnsi="Tahoma"/>
      <w:i/>
      <w:iCs/>
      <w:sz w:val="22"/>
      <w:szCs w:val="22"/>
      <w:lang w:eastAsia="en-US"/>
    </w:rPr>
  </w:style>
  <w:style w:type="character" w:customStyle="1" w:styleId="Titre7Car">
    <w:name w:val="Titre 7 Car"/>
    <w:link w:val="Titre7"/>
    <w:uiPriority w:val="9"/>
    <w:semiHidden/>
    <w:rsid w:val="007E7CE1"/>
    <w:rPr>
      <w:rFonts w:eastAsia="Times New Roman"/>
      <w:i/>
      <w:iCs/>
      <w:color w:val="404040"/>
      <w:sz w:val="22"/>
      <w:szCs w:val="22"/>
      <w:lang w:eastAsia="en-US"/>
    </w:rPr>
  </w:style>
  <w:style w:type="paragraph" w:styleId="Listenumros">
    <w:name w:val="List Number"/>
    <w:basedOn w:val="Normal"/>
    <w:uiPriority w:val="99"/>
    <w:unhideWhenUsed/>
    <w:qFormat/>
    <w:rsid w:val="002C3808"/>
    <w:pPr>
      <w:numPr>
        <w:numId w:val="10"/>
      </w:numPr>
      <w:spacing w:line="240" w:lineRule="atLeast"/>
    </w:pPr>
  </w:style>
  <w:style w:type="paragraph" w:customStyle="1" w:styleId="ExSumHeading1">
    <w:name w:val="Ex Sum Heading 1"/>
    <w:basedOn w:val="Normal"/>
    <w:next w:val="ExSumBodyText"/>
    <w:qFormat/>
    <w:rsid w:val="002C3808"/>
    <w:pPr>
      <w:keepNext/>
      <w:keepLines/>
      <w:spacing w:after="200"/>
      <w:outlineLvl w:val="0"/>
    </w:pPr>
    <w:rPr>
      <w:rFonts w:eastAsia="Times New Roman"/>
      <w:b/>
      <w:bCs/>
      <w:caps/>
      <w:color w:val="339966"/>
      <w:sz w:val="22"/>
      <w:szCs w:val="28"/>
    </w:rPr>
  </w:style>
  <w:style w:type="paragraph" w:customStyle="1" w:styleId="ExSumBodyText">
    <w:name w:val="Ex Sum Body Text"/>
    <w:basedOn w:val="Corpsdetexte"/>
    <w:qFormat/>
    <w:rsid w:val="00F82362"/>
    <w:pPr>
      <w:ind w:left="0"/>
    </w:pPr>
  </w:style>
  <w:style w:type="paragraph" w:styleId="TM4">
    <w:name w:val="toc 4"/>
    <w:basedOn w:val="Normal"/>
    <w:next w:val="Normal"/>
    <w:uiPriority w:val="39"/>
    <w:rsid w:val="00BB00BC"/>
    <w:pPr>
      <w:tabs>
        <w:tab w:val="right" w:pos="9639"/>
      </w:tabs>
      <w:spacing w:after="20"/>
      <w:ind w:right="567"/>
    </w:pPr>
  </w:style>
  <w:style w:type="paragraph" w:styleId="TM5">
    <w:name w:val="toc 5"/>
    <w:basedOn w:val="Normal"/>
    <w:next w:val="Normal"/>
    <w:uiPriority w:val="39"/>
    <w:rsid w:val="00BB00BC"/>
    <w:pPr>
      <w:numPr>
        <w:numId w:val="3"/>
      </w:numPr>
      <w:tabs>
        <w:tab w:val="clear" w:pos="720"/>
        <w:tab w:val="num" w:pos="360"/>
        <w:tab w:val="right" w:pos="9639"/>
      </w:tabs>
      <w:ind w:left="0" w:right="567" w:firstLine="0"/>
    </w:pPr>
  </w:style>
  <w:style w:type="paragraph" w:styleId="Listepuces">
    <w:name w:val="List Bullet"/>
    <w:basedOn w:val="Normal"/>
    <w:uiPriority w:val="99"/>
    <w:unhideWhenUsed/>
    <w:qFormat/>
    <w:rsid w:val="0073349E"/>
    <w:pPr>
      <w:numPr>
        <w:numId w:val="17"/>
      </w:numPr>
      <w:spacing w:line="240" w:lineRule="atLeast"/>
    </w:pPr>
  </w:style>
  <w:style w:type="paragraph" w:styleId="Listepuces2">
    <w:name w:val="List Bullet 2"/>
    <w:basedOn w:val="Normal"/>
    <w:uiPriority w:val="99"/>
    <w:unhideWhenUsed/>
    <w:qFormat/>
    <w:rsid w:val="0073349E"/>
    <w:pPr>
      <w:numPr>
        <w:ilvl w:val="1"/>
        <w:numId w:val="9"/>
      </w:numPr>
      <w:spacing w:line="240" w:lineRule="atLeast"/>
    </w:pPr>
  </w:style>
  <w:style w:type="paragraph" w:styleId="Pieddepage">
    <w:name w:val="footer"/>
    <w:basedOn w:val="Normal"/>
    <w:link w:val="PieddepageCar"/>
    <w:uiPriority w:val="99"/>
    <w:rsid w:val="00FC2168"/>
    <w:pPr>
      <w:pBdr>
        <w:top w:val="single" w:sz="4" w:space="6" w:color="auto"/>
      </w:pBdr>
      <w:tabs>
        <w:tab w:val="center" w:pos="4680"/>
        <w:tab w:val="right" w:pos="9360"/>
      </w:tabs>
      <w:jc w:val="center"/>
    </w:pPr>
    <w:rPr>
      <w:b/>
      <w:sz w:val="16"/>
    </w:rPr>
  </w:style>
  <w:style w:type="character" w:customStyle="1" w:styleId="PieddepageCar">
    <w:name w:val="Pied de page Car"/>
    <w:link w:val="Pieddepage"/>
    <w:uiPriority w:val="99"/>
    <w:rsid w:val="00FC2168"/>
    <w:rPr>
      <w:rFonts w:ascii="Tahoma" w:eastAsia="Calibri" w:hAnsi="Tahoma"/>
      <w:b/>
      <w:sz w:val="16"/>
      <w:szCs w:val="22"/>
      <w:lang w:val="en-GB" w:eastAsia="en-US" w:bidi="ar-SA"/>
    </w:rPr>
  </w:style>
  <w:style w:type="paragraph" w:styleId="En-tte">
    <w:name w:val="header"/>
    <w:basedOn w:val="Normal"/>
    <w:link w:val="En-tteCar"/>
    <w:uiPriority w:val="99"/>
    <w:semiHidden/>
    <w:rsid w:val="003E6F9D"/>
    <w:pPr>
      <w:pBdr>
        <w:bottom w:val="single" w:sz="4" w:space="2" w:color="auto"/>
      </w:pBdr>
      <w:tabs>
        <w:tab w:val="right" w:pos="9639"/>
      </w:tabs>
    </w:pPr>
    <w:rPr>
      <w:b/>
      <w:sz w:val="16"/>
    </w:rPr>
  </w:style>
  <w:style w:type="character" w:customStyle="1" w:styleId="En-tteCar">
    <w:name w:val="En-tête Car"/>
    <w:link w:val="En-tte"/>
    <w:uiPriority w:val="99"/>
    <w:semiHidden/>
    <w:rsid w:val="003E6F9D"/>
    <w:rPr>
      <w:rFonts w:ascii="Tahoma" w:eastAsia="Calibri" w:hAnsi="Tahoma"/>
      <w:b/>
      <w:sz w:val="16"/>
      <w:szCs w:val="22"/>
      <w:lang w:val="en-GB" w:eastAsia="en-US" w:bidi="ar-SA"/>
    </w:rPr>
  </w:style>
  <w:style w:type="character" w:styleId="Numrodepage">
    <w:name w:val="page number"/>
    <w:uiPriority w:val="99"/>
    <w:semiHidden/>
    <w:unhideWhenUsed/>
    <w:rsid w:val="00F16BDE"/>
    <w:rPr>
      <w:rFonts w:ascii="Arial" w:hAnsi="Arial"/>
      <w:sz w:val="20"/>
    </w:rPr>
  </w:style>
  <w:style w:type="paragraph" w:styleId="Titre">
    <w:name w:val="Title"/>
    <w:basedOn w:val="Normal"/>
    <w:next w:val="Normal"/>
    <w:link w:val="TitreCar"/>
    <w:uiPriority w:val="10"/>
    <w:qFormat/>
    <w:rsid w:val="001850C9"/>
    <w:pPr>
      <w:spacing w:after="120"/>
      <w:jc w:val="center"/>
    </w:pPr>
    <w:rPr>
      <w:b/>
      <w:i/>
      <w:caps/>
      <w:color w:val="339966"/>
      <w:kern w:val="28"/>
      <w:szCs w:val="52"/>
    </w:rPr>
  </w:style>
  <w:style w:type="character" w:customStyle="1" w:styleId="TitreCar">
    <w:name w:val="Titre Car"/>
    <w:link w:val="Titre"/>
    <w:uiPriority w:val="10"/>
    <w:rsid w:val="001850C9"/>
    <w:rPr>
      <w:rFonts w:ascii="Tahoma" w:hAnsi="Tahoma"/>
      <w:b/>
      <w:i/>
      <w:caps/>
      <w:color w:val="339966"/>
      <w:kern w:val="28"/>
      <w:szCs w:val="52"/>
      <w:lang w:val="en-GB" w:eastAsia="en-US" w:bidi="ar-SA"/>
    </w:rPr>
  </w:style>
  <w:style w:type="paragraph" w:styleId="TM1">
    <w:name w:val="toc 1"/>
    <w:basedOn w:val="Normal"/>
    <w:next w:val="Normal"/>
    <w:uiPriority w:val="39"/>
    <w:rsid w:val="00BB00BC"/>
    <w:pPr>
      <w:tabs>
        <w:tab w:val="left" w:pos="720"/>
        <w:tab w:val="right" w:pos="9639"/>
      </w:tabs>
      <w:spacing w:before="200" w:after="20"/>
      <w:ind w:left="720" w:right="567" w:hanging="720"/>
    </w:pPr>
    <w:rPr>
      <w:b/>
      <w:caps/>
      <w:color w:val="339966"/>
    </w:rPr>
  </w:style>
  <w:style w:type="paragraph" w:styleId="TM2">
    <w:name w:val="toc 2"/>
    <w:basedOn w:val="Normal"/>
    <w:next w:val="Normal"/>
    <w:uiPriority w:val="39"/>
    <w:rsid w:val="00BB00BC"/>
    <w:pPr>
      <w:tabs>
        <w:tab w:val="left" w:pos="1304"/>
        <w:tab w:val="right" w:pos="9639"/>
      </w:tabs>
      <w:spacing w:after="20"/>
      <w:ind w:left="1304" w:right="567" w:hanging="584"/>
    </w:pPr>
  </w:style>
  <w:style w:type="paragraph" w:styleId="TM3">
    <w:name w:val="toc 3"/>
    <w:basedOn w:val="Normal"/>
    <w:next w:val="Normal"/>
    <w:uiPriority w:val="39"/>
    <w:rsid w:val="00BB00BC"/>
    <w:pPr>
      <w:tabs>
        <w:tab w:val="left" w:pos="1673"/>
        <w:tab w:val="right" w:pos="9639"/>
      </w:tabs>
      <w:spacing w:after="20"/>
      <w:ind w:left="1888" w:right="567" w:hanging="584"/>
    </w:pPr>
  </w:style>
  <w:style w:type="table" w:styleId="Grilledutableau">
    <w:name w:val="Table Grid"/>
    <w:basedOn w:val="TableauNormal"/>
    <w:uiPriority w:val="59"/>
    <w:rsid w:val="00183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urText">
    <w:name w:val="Colour Text"/>
    <w:basedOn w:val="Normal"/>
    <w:qFormat/>
    <w:rsid w:val="002C3808"/>
    <w:pPr>
      <w:ind w:left="1701"/>
    </w:pPr>
    <w:rPr>
      <w:color w:val="339966"/>
    </w:rPr>
  </w:style>
  <w:style w:type="paragraph" w:styleId="Date">
    <w:name w:val="Date"/>
    <w:basedOn w:val="Normal"/>
    <w:next w:val="Normal"/>
    <w:link w:val="DateCar"/>
    <w:uiPriority w:val="99"/>
    <w:rsid w:val="001850C9"/>
    <w:pPr>
      <w:spacing w:after="120"/>
      <w:jc w:val="center"/>
    </w:pPr>
    <w:rPr>
      <w:b/>
      <w:color w:val="339966"/>
    </w:rPr>
  </w:style>
  <w:style w:type="character" w:customStyle="1" w:styleId="DateCar">
    <w:name w:val="Date Car"/>
    <w:link w:val="Date"/>
    <w:uiPriority w:val="99"/>
    <w:rsid w:val="001850C9"/>
    <w:rPr>
      <w:rFonts w:ascii="Tahoma" w:eastAsia="Calibri" w:hAnsi="Tahoma"/>
      <w:b/>
      <w:color w:val="339966"/>
      <w:szCs w:val="22"/>
      <w:lang w:val="en-GB" w:eastAsia="en-US" w:bidi="ar-SA"/>
    </w:rPr>
  </w:style>
  <w:style w:type="paragraph" w:customStyle="1" w:styleId="ContentsHeading">
    <w:name w:val="Contents Heading"/>
    <w:basedOn w:val="Titre1"/>
    <w:next w:val="Normal"/>
    <w:qFormat/>
    <w:rsid w:val="003F5B76"/>
    <w:pPr>
      <w:pageBreakBefore w:val="0"/>
      <w:numPr>
        <w:numId w:val="0"/>
      </w:numPr>
      <w:tabs>
        <w:tab w:val="right" w:pos="9639"/>
      </w:tabs>
    </w:pPr>
    <w:rPr>
      <w:sz w:val="20"/>
    </w:rPr>
  </w:style>
  <w:style w:type="paragraph" w:customStyle="1" w:styleId="TableHeading">
    <w:name w:val="Table Heading"/>
    <w:basedOn w:val="Corpsdetexte"/>
    <w:qFormat/>
    <w:rsid w:val="00094531"/>
    <w:pPr>
      <w:numPr>
        <w:numId w:val="7"/>
      </w:numPr>
    </w:pPr>
    <w:rPr>
      <w:b/>
      <w:u w:val="single"/>
    </w:rPr>
  </w:style>
  <w:style w:type="paragraph" w:styleId="Citation">
    <w:name w:val="Quote"/>
    <w:basedOn w:val="Normal"/>
    <w:next w:val="Corpsdetexte"/>
    <w:link w:val="CitationCar"/>
    <w:uiPriority w:val="29"/>
    <w:qFormat/>
    <w:rsid w:val="002C3808"/>
    <w:pPr>
      <w:spacing w:after="165" w:line="240" w:lineRule="atLeast"/>
      <w:ind w:left="720"/>
      <w:jc w:val="center"/>
    </w:pPr>
    <w:rPr>
      <w:i/>
      <w:iCs/>
      <w:color w:val="339966"/>
    </w:rPr>
  </w:style>
  <w:style w:type="character" w:customStyle="1" w:styleId="CitationCar">
    <w:name w:val="Citation Car"/>
    <w:link w:val="Citation"/>
    <w:uiPriority w:val="29"/>
    <w:rsid w:val="002C3808"/>
    <w:rPr>
      <w:rFonts w:ascii="Tahoma" w:eastAsia="Calibri" w:hAnsi="Tahoma"/>
      <w:i/>
      <w:iCs/>
      <w:color w:val="339966"/>
      <w:szCs w:val="22"/>
      <w:lang w:val="en-GB" w:eastAsia="en-US" w:bidi="ar-SA"/>
    </w:rPr>
  </w:style>
  <w:style w:type="character" w:customStyle="1" w:styleId="ColourCharacters">
    <w:name w:val="Colour Characters"/>
    <w:uiPriority w:val="1"/>
    <w:qFormat/>
    <w:rsid w:val="002C3808"/>
    <w:rPr>
      <w:color w:val="339966"/>
    </w:rPr>
  </w:style>
  <w:style w:type="paragraph" w:styleId="Notedebasdepage">
    <w:name w:val="footnote text"/>
    <w:basedOn w:val="Normal"/>
    <w:link w:val="NotedebasdepageCar"/>
    <w:uiPriority w:val="99"/>
    <w:semiHidden/>
    <w:unhideWhenUsed/>
    <w:rsid w:val="00822AC1"/>
    <w:rPr>
      <w:sz w:val="16"/>
      <w:szCs w:val="20"/>
    </w:rPr>
  </w:style>
  <w:style w:type="character" w:customStyle="1" w:styleId="NotedebasdepageCar">
    <w:name w:val="Note de bas de page Car"/>
    <w:link w:val="Notedebasdepage"/>
    <w:uiPriority w:val="99"/>
    <w:semiHidden/>
    <w:rsid w:val="00822AC1"/>
    <w:rPr>
      <w:rFonts w:ascii="Tahoma" w:eastAsia="Calibri" w:hAnsi="Tahoma"/>
      <w:sz w:val="16"/>
      <w:lang w:val="en-GB" w:eastAsia="en-US" w:bidi="ar-SA"/>
    </w:rPr>
  </w:style>
  <w:style w:type="character" w:styleId="Appelnotedebasdep">
    <w:name w:val="footnote reference"/>
    <w:uiPriority w:val="99"/>
    <w:semiHidden/>
    <w:unhideWhenUsed/>
    <w:rsid w:val="00C27A67"/>
    <w:rPr>
      <w:vertAlign w:val="superscript"/>
    </w:rPr>
  </w:style>
  <w:style w:type="paragraph" w:customStyle="1" w:styleId="TableListBullet">
    <w:name w:val="Table List Bullet"/>
    <w:basedOn w:val="Corpsdetexte"/>
    <w:qFormat/>
    <w:rsid w:val="001356F4"/>
    <w:pPr>
      <w:numPr>
        <w:numId w:val="2"/>
      </w:numPr>
      <w:spacing w:after="0"/>
      <w:jc w:val="left"/>
    </w:pPr>
  </w:style>
  <w:style w:type="paragraph" w:customStyle="1" w:styleId="TableText">
    <w:name w:val="Table Text"/>
    <w:basedOn w:val="Normal"/>
    <w:qFormat/>
    <w:rsid w:val="00CE68D2"/>
    <w:pPr>
      <w:spacing w:line="240" w:lineRule="atLeast"/>
    </w:pPr>
  </w:style>
  <w:style w:type="paragraph" w:customStyle="1" w:styleId="TableColourText">
    <w:name w:val="Table Colour Text"/>
    <w:basedOn w:val="Normal"/>
    <w:qFormat/>
    <w:rsid w:val="002C3808"/>
    <w:pPr>
      <w:spacing w:after="165" w:line="240" w:lineRule="atLeast"/>
    </w:pPr>
    <w:rPr>
      <w:color w:val="339966"/>
    </w:rPr>
  </w:style>
  <w:style w:type="paragraph" w:customStyle="1" w:styleId="AppendixTitle">
    <w:name w:val="Appendix Title"/>
    <w:basedOn w:val="Titre"/>
    <w:next w:val="AppendixSubtitle"/>
    <w:qFormat/>
    <w:rsid w:val="00EE04A8"/>
    <w:pPr>
      <w:numPr>
        <w:numId w:val="11"/>
      </w:numPr>
      <w:spacing w:before="5660" w:after="300"/>
      <w:ind w:left="0" w:firstLine="0"/>
    </w:pPr>
    <w:rPr>
      <w:i w:val="0"/>
      <w:sz w:val="40"/>
    </w:rPr>
  </w:style>
  <w:style w:type="paragraph" w:customStyle="1" w:styleId="AppendixSubtitle">
    <w:name w:val="Appendix Subtitle"/>
    <w:basedOn w:val="Normal"/>
    <w:next w:val="AppendixBodyText"/>
    <w:qFormat/>
    <w:rsid w:val="00210BC3"/>
    <w:pPr>
      <w:numPr>
        <w:ilvl w:val="1"/>
      </w:numPr>
      <w:spacing w:after="200"/>
      <w:jc w:val="center"/>
    </w:pPr>
    <w:rPr>
      <w:rFonts w:eastAsia="Times New Roman"/>
      <w:b/>
      <w:iCs/>
      <w:color w:val="339966"/>
      <w:sz w:val="40"/>
      <w:szCs w:val="24"/>
      <w:u w:val="single"/>
    </w:rPr>
  </w:style>
  <w:style w:type="paragraph" w:customStyle="1" w:styleId="AppendixBodyText">
    <w:name w:val="Appendix Body Text"/>
    <w:basedOn w:val="Corpsdetexte"/>
    <w:rsid w:val="005069D0"/>
    <w:pPr>
      <w:ind w:left="0"/>
    </w:pPr>
  </w:style>
  <w:style w:type="paragraph" w:customStyle="1" w:styleId="AppendixHeader">
    <w:name w:val="Appendix Header"/>
    <w:basedOn w:val="En-tte"/>
    <w:semiHidden/>
    <w:qFormat/>
    <w:rsid w:val="00FC2168"/>
  </w:style>
  <w:style w:type="paragraph" w:customStyle="1" w:styleId="TableListNumber">
    <w:name w:val="Table List Number"/>
    <w:basedOn w:val="Listenumros"/>
    <w:rsid w:val="001356F4"/>
    <w:pPr>
      <w:numPr>
        <w:numId w:val="1"/>
      </w:numPr>
    </w:pPr>
  </w:style>
  <w:style w:type="paragraph" w:customStyle="1" w:styleId="ColumnHeading">
    <w:name w:val="Column Heading"/>
    <w:basedOn w:val="Normal"/>
    <w:rsid w:val="001356F4"/>
    <w:rPr>
      <w:b/>
      <w:color w:val="FFFFFF"/>
    </w:rPr>
  </w:style>
  <w:style w:type="paragraph" w:customStyle="1" w:styleId="RowHeading">
    <w:name w:val="Row Heading"/>
    <w:basedOn w:val="Normal"/>
    <w:rsid w:val="001356F4"/>
    <w:rPr>
      <w:b/>
      <w:color w:val="FFFFFF"/>
    </w:rPr>
  </w:style>
  <w:style w:type="character" w:styleId="Lienhypertexte">
    <w:name w:val="Hyperlink"/>
    <w:uiPriority w:val="99"/>
    <w:rsid w:val="006E6E18"/>
    <w:rPr>
      <w:color w:val="0000FF"/>
      <w:u w:val="single"/>
    </w:rPr>
  </w:style>
  <w:style w:type="paragraph" w:customStyle="1" w:styleId="LandscapeHeader">
    <w:name w:val="Landscape Header"/>
    <w:basedOn w:val="En-tte"/>
    <w:semiHidden/>
    <w:rsid w:val="009668C5"/>
    <w:pPr>
      <w:tabs>
        <w:tab w:val="clear" w:pos="9639"/>
        <w:tab w:val="right" w:pos="14572"/>
      </w:tabs>
    </w:pPr>
  </w:style>
  <w:style w:type="paragraph" w:customStyle="1" w:styleId="CoverFooter">
    <w:name w:val="Cover Footer"/>
    <w:basedOn w:val="Pieddepage"/>
    <w:semiHidden/>
    <w:rsid w:val="00FC2168"/>
    <w:pPr>
      <w:pBdr>
        <w:top w:val="none" w:sz="0" w:space="0" w:color="auto"/>
      </w:pBdr>
    </w:pPr>
    <w:rPr>
      <w:b w:val="0"/>
    </w:rPr>
  </w:style>
  <w:style w:type="paragraph" w:customStyle="1" w:styleId="CoverText">
    <w:name w:val="Cover Text"/>
    <w:basedOn w:val="Normal"/>
    <w:rsid w:val="001850C9"/>
    <w:pPr>
      <w:spacing w:after="120"/>
      <w:jc w:val="center"/>
    </w:pPr>
  </w:style>
  <w:style w:type="paragraph" w:customStyle="1" w:styleId="FigureHeading">
    <w:name w:val="Figure Heading"/>
    <w:basedOn w:val="TableHeading"/>
    <w:next w:val="Corpsdetexte"/>
    <w:qFormat/>
    <w:rsid w:val="00822AC1"/>
    <w:pPr>
      <w:numPr>
        <w:numId w:val="6"/>
      </w:numPr>
    </w:pPr>
  </w:style>
  <w:style w:type="paragraph" w:customStyle="1" w:styleId="ExSumHeading2">
    <w:name w:val="Ex Sum Heading 2"/>
    <w:basedOn w:val="ExSumHeading1"/>
    <w:next w:val="ExSumBodyText"/>
    <w:qFormat/>
    <w:rsid w:val="00F82362"/>
    <w:rPr>
      <w:caps w:val="0"/>
    </w:rPr>
  </w:style>
  <w:style w:type="paragraph" w:customStyle="1" w:styleId="ExSumHeading3">
    <w:name w:val="Ex Sum Heading 3"/>
    <w:basedOn w:val="ExSumHeading2"/>
    <w:next w:val="ExSumBodyText"/>
    <w:qFormat/>
    <w:rsid w:val="00F82362"/>
    <w:rPr>
      <w:sz w:val="20"/>
    </w:rPr>
  </w:style>
  <w:style w:type="paragraph" w:customStyle="1" w:styleId="ExSumHeading4">
    <w:name w:val="Ex Sum Heading 4"/>
    <w:basedOn w:val="ExSumHeading3"/>
    <w:next w:val="ExSumBodyText"/>
    <w:qFormat/>
    <w:rsid w:val="00F82362"/>
    <w:pPr>
      <w:spacing w:after="0"/>
    </w:pPr>
    <w:rPr>
      <w:i/>
    </w:rPr>
  </w:style>
  <w:style w:type="paragraph" w:customStyle="1" w:styleId="ExSumBullet1">
    <w:name w:val="Ex Sum Bullet 1"/>
    <w:basedOn w:val="ExSumBodyText"/>
    <w:qFormat/>
    <w:rsid w:val="00822AC1"/>
    <w:pPr>
      <w:numPr>
        <w:numId w:val="4"/>
      </w:numPr>
      <w:spacing w:after="0"/>
      <w:ind w:left="584" w:hanging="584"/>
    </w:pPr>
  </w:style>
  <w:style w:type="paragraph" w:customStyle="1" w:styleId="ExSumNumber1">
    <w:name w:val="Ex Sum Number 1"/>
    <w:basedOn w:val="ExSumBodyText"/>
    <w:qFormat/>
    <w:rsid w:val="00822AC1"/>
    <w:pPr>
      <w:numPr>
        <w:numId w:val="5"/>
      </w:numPr>
      <w:spacing w:after="0"/>
      <w:ind w:left="584" w:hanging="584"/>
    </w:pPr>
  </w:style>
  <w:style w:type="paragraph" w:customStyle="1" w:styleId="AppendixLandscapeHeader">
    <w:name w:val="Appendix Landscape Header"/>
    <w:basedOn w:val="AppendixHeader"/>
    <w:next w:val="Normal"/>
    <w:semiHidden/>
    <w:rsid w:val="00BC58AA"/>
    <w:pPr>
      <w:tabs>
        <w:tab w:val="clear" w:pos="9639"/>
        <w:tab w:val="right" w:pos="14572"/>
      </w:tabs>
    </w:pPr>
  </w:style>
  <w:style w:type="paragraph" w:customStyle="1" w:styleId="FirstBullet">
    <w:name w:val="First Bullet"/>
    <w:basedOn w:val="Listepuces"/>
    <w:next w:val="Listepuces"/>
    <w:qFormat/>
    <w:rsid w:val="00210BC3"/>
    <w:pPr>
      <w:numPr>
        <w:numId w:val="15"/>
      </w:numPr>
      <w:spacing w:before="200"/>
    </w:pPr>
  </w:style>
  <w:style w:type="paragraph" w:customStyle="1" w:styleId="FirstBullet2">
    <w:name w:val="First Bullet 2"/>
    <w:basedOn w:val="Listepuces2"/>
    <w:next w:val="Listepuces2"/>
    <w:qFormat/>
    <w:rsid w:val="00606C3A"/>
    <w:pPr>
      <w:numPr>
        <w:ilvl w:val="0"/>
        <w:numId w:val="16"/>
      </w:numPr>
      <w:spacing w:before="200"/>
    </w:pPr>
  </w:style>
  <w:style w:type="paragraph" w:customStyle="1" w:styleId="ExSumFirstBullet">
    <w:name w:val="Ex Sum First Bullet"/>
    <w:basedOn w:val="ExSumBullet1"/>
    <w:next w:val="ExSumBullet1"/>
    <w:rsid w:val="007975EF"/>
    <w:pPr>
      <w:spacing w:before="200"/>
    </w:pPr>
  </w:style>
  <w:style w:type="paragraph" w:customStyle="1" w:styleId="AppendixBullet1">
    <w:name w:val="Appendix Bullet 1"/>
    <w:basedOn w:val="ExSumBullet1"/>
    <w:qFormat/>
    <w:rsid w:val="00822AC1"/>
    <w:pPr>
      <w:numPr>
        <w:numId w:val="12"/>
      </w:numPr>
    </w:pPr>
  </w:style>
  <w:style w:type="paragraph" w:customStyle="1" w:styleId="AppendixFirstBullet">
    <w:name w:val="Appendix First Bullet"/>
    <w:basedOn w:val="ExSumFirstBullet"/>
    <w:next w:val="AppendixBullet1"/>
    <w:rsid w:val="00822AC1"/>
    <w:pPr>
      <w:numPr>
        <w:numId w:val="14"/>
      </w:numPr>
    </w:pPr>
  </w:style>
  <w:style w:type="paragraph" w:customStyle="1" w:styleId="AppendixNumber1">
    <w:name w:val="Appendix Number 1"/>
    <w:basedOn w:val="ExSumNumber1"/>
    <w:qFormat/>
    <w:rsid w:val="00822AC1"/>
    <w:pPr>
      <w:numPr>
        <w:numId w:val="13"/>
      </w:numPr>
    </w:pPr>
  </w:style>
  <w:style w:type="paragraph" w:customStyle="1" w:styleId="AppendixHeading1">
    <w:name w:val="Appendix Heading 1"/>
    <w:basedOn w:val="ExSumHeading1"/>
    <w:next w:val="Normal"/>
    <w:qFormat/>
    <w:rsid w:val="00A43C92"/>
    <w:rPr>
      <w:bCs w:val="0"/>
    </w:rPr>
  </w:style>
  <w:style w:type="paragraph" w:customStyle="1" w:styleId="AppendixHeading2">
    <w:name w:val="Appendix Heading 2"/>
    <w:basedOn w:val="AppendixHeading1"/>
    <w:next w:val="Normal"/>
    <w:qFormat/>
    <w:rsid w:val="00A43C92"/>
    <w:rPr>
      <w:caps w:val="0"/>
    </w:rPr>
  </w:style>
  <w:style w:type="paragraph" w:customStyle="1" w:styleId="AppendixHeading3">
    <w:name w:val="Appendix Heading 3"/>
    <w:basedOn w:val="AppendixHeading2"/>
    <w:next w:val="Normal"/>
    <w:qFormat/>
    <w:rsid w:val="00A43C92"/>
    <w:rPr>
      <w:sz w:val="20"/>
    </w:rPr>
  </w:style>
  <w:style w:type="paragraph" w:customStyle="1" w:styleId="AppendixHeading4">
    <w:name w:val="Appendix Heading 4"/>
    <w:basedOn w:val="AppendixHeading3"/>
    <w:next w:val="Normal"/>
    <w:qFormat/>
    <w:rsid w:val="00A43C92"/>
    <w:pPr>
      <w:spacing w:after="0"/>
    </w:pPr>
    <w:rPr>
      <w:i/>
    </w:rPr>
  </w:style>
  <w:style w:type="paragraph" w:customStyle="1" w:styleId="Box1Text">
    <w:name w:val="Box 1 Text"/>
    <w:basedOn w:val="Corpsdetexte"/>
    <w:next w:val="Corpsdetexte"/>
    <w:rsid w:val="00454D92"/>
    <w:pPr>
      <w:ind w:left="0"/>
    </w:pPr>
    <w:rPr>
      <w:color w:val="339966"/>
    </w:rPr>
  </w:style>
  <w:style w:type="paragraph" w:customStyle="1" w:styleId="Box1Bullet">
    <w:name w:val="Box 1 Bullet"/>
    <w:basedOn w:val="Box1Text"/>
    <w:rsid w:val="00454D92"/>
    <w:pPr>
      <w:numPr>
        <w:numId w:val="18"/>
      </w:numPr>
    </w:pPr>
  </w:style>
  <w:style w:type="paragraph" w:customStyle="1" w:styleId="Box1Number">
    <w:name w:val="Box 1 Number"/>
    <w:basedOn w:val="Box1Text"/>
    <w:rsid w:val="00454D92"/>
    <w:pPr>
      <w:numPr>
        <w:numId w:val="19"/>
      </w:numPr>
    </w:pPr>
  </w:style>
  <w:style w:type="paragraph" w:customStyle="1" w:styleId="Box2Text">
    <w:name w:val="Box 2 Text"/>
    <w:basedOn w:val="Corpsdetexte"/>
    <w:next w:val="Corpsdetexte"/>
    <w:rsid w:val="00454D92"/>
    <w:pPr>
      <w:ind w:left="0"/>
    </w:pPr>
    <w:rPr>
      <w:color w:val="99CC00"/>
    </w:rPr>
  </w:style>
  <w:style w:type="paragraph" w:customStyle="1" w:styleId="Box2Bullet">
    <w:name w:val="Box 2 Bullet"/>
    <w:basedOn w:val="Box2Text"/>
    <w:rsid w:val="00454D92"/>
    <w:pPr>
      <w:numPr>
        <w:numId w:val="20"/>
      </w:numPr>
    </w:pPr>
  </w:style>
  <w:style w:type="paragraph" w:customStyle="1" w:styleId="Box2Number">
    <w:name w:val="Box 2 Number"/>
    <w:basedOn w:val="Box2Text"/>
    <w:rsid w:val="00454D92"/>
    <w:pPr>
      <w:numPr>
        <w:numId w:val="21"/>
      </w:numPr>
    </w:pPr>
  </w:style>
  <w:style w:type="paragraph" w:customStyle="1" w:styleId="Box3Text">
    <w:name w:val="Box 3 Text"/>
    <w:basedOn w:val="Corpsdetexte"/>
    <w:next w:val="Corpsdetexte"/>
    <w:rsid w:val="00454D92"/>
    <w:pPr>
      <w:ind w:left="0"/>
    </w:pPr>
    <w:rPr>
      <w:color w:val="808080"/>
    </w:rPr>
  </w:style>
  <w:style w:type="paragraph" w:customStyle="1" w:styleId="Box3Bullet">
    <w:name w:val="Box 3 Bullet"/>
    <w:basedOn w:val="Box3Text"/>
    <w:rsid w:val="00454D92"/>
    <w:pPr>
      <w:numPr>
        <w:numId w:val="22"/>
      </w:numPr>
    </w:pPr>
  </w:style>
  <w:style w:type="paragraph" w:customStyle="1" w:styleId="Box3Number">
    <w:name w:val="Box 3 Number"/>
    <w:basedOn w:val="Box3Text"/>
    <w:rsid w:val="00454D92"/>
    <w:pPr>
      <w:numPr>
        <w:numId w:val="23"/>
      </w:numPr>
    </w:pPr>
  </w:style>
  <w:style w:type="paragraph" w:styleId="Paragraphedeliste">
    <w:name w:val="List Paragraph"/>
    <w:basedOn w:val="Normal"/>
    <w:uiPriority w:val="34"/>
    <w:qFormat/>
    <w:rsid w:val="009D4B26"/>
    <w:pPr>
      <w:spacing w:after="160" w:line="259" w:lineRule="auto"/>
      <w:ind w:left="720"/>
      <w:contextualSpacing/>
      <w:jc w:val="left"/>
    </w:pPr>
    <w:rPr>
      <w:rFonts w:asciiTheme="minorHAnsi" w:eastAsiaTheme="minorHAnsi" w:hAnsiTheme="minorHAnsi" w:cstheme="minorBidi"/>
      <w:sz w:val="22"/>
    </w:rPr>
  </w:style>
  <w:style w:type="paragraph" w:styleId="Notedefin">
    <w:name w:val="endnote text"/>
    <w:basedOn w:val="Normal"/>
    <w:link w:val="NotedefinCar"/>
    <w:semiHidden/>
    <w:rsid w:val="00DB64F0"/>
    <w:pPr>
      <w:jc w:val="left"/>
    </w:pPr>
    <w:rPr>
      <w:rFonts w:ascii="Times New Roman" w:eastAsia="MS Mincho" w:hAnsi="Times New Roman"/>
      <w:szCs w:val="20"/>
      <w:lang w:eastAsia="ja-JP"/>
    </w:rPr>
  </w:style>
  <w:style w:type="character" w:customStyle="1" w:styleId="NotedefinCar">
    <w:name w:val="Note de fin Car"/>
    <w:basedOn w:val="Policepardfaut"/>
    <w:link w:val="Notedefin"/>
    <w:semiHidden/>
    <w:rsid w:val="00DB64F0"/>
    <w:rPr>
      <w:rFonts w:ascii="Times New Roman" w:eastAsia="MS Mincho" w:hAnsi="Times New Roman"/>
      <w:lang w:eastAsia="ja-JP"/>
    </w:rPr>
  </w:style>
  <w:style w:type="character" w:styleId="Appeldenotedefin">
    <w:name w:val="endnote reference"/>
    <w:basedOn w:val="Policepardfaut"/>
    <w:semiHidden/>
    <w:rsid w:val="00DB64F0"/>
    <w:rPr>
      <w:vertAlign w:val="superscript"/>
    </w:rPr>
  </w:style>
  <w:style w:type="paragraph" w:styleId="Sansinterligne">
    <w:name w:val="No Spacing"/>
    <w:uiPriority w:val="1"/>
    <w:qFormat/>
    <w:rsid w:val="004516C6"/>
    <w:rPr>
      <w:rFonts w:asciiTheme="minorHAnsi" w:eastAsiaTheme="minorHAnsi" w:hAnsiTheme="minorHAnsi" w:cstheme="minorBidi"/>
      <w:sz w:val="22"/>
      <w:szCs w:val="22"/>
      <w:lang w:val="pl-PL" w:eastAsia="en-US"/>
    </w:rPr>
  </w:style>
  <w:style w:type="paragraph" w:customStyle="1" w:styleId="listparagraph1">
    <w:name w:val="listparagraph1"/>
    <w:basedOn w:val="Normal"/>
    <w:rsid w:val="00BC1087"/>
    <w:pPr>
      <w:spacing w:before="180" w:after="180"/>
      <w:jc w:val="left"/>
      <w:textAlignment w:val="baseline"/>
    </w:pPr>
    <w:rPr>
      <w:rFonts w:ascii="Times New Roman" w:eastAsia="Times New Roman" w:hAnsi="Times New Roman"/>
      <w:sz w:val="24"/>
      <w:szCs w:val="24"/>
      <w:lang w:eastAsia="en-GB"/>
    </w:rPr>
  </w:style>
  <w:style w:type="character" w:styleId="Lienhypertextesuivivisit">
    <w:name w:val="FollowedHyperlink"/>
    <w:basedOn w:val="Policepardfaut"/>
    <w:uiPriority w:val="99"/>
    <w:semiHidden/>
    <w:unhideWhenUsed/>
    <w:rsid w:val="0078379B"/>
    <w:rPr>
      <w:color w:val="954F72" w:themeColor="followedHyperlink"/>
      <w:u w:val="single"/>
    </w:rPr>
  </w:style>
  <w:style w:type="paragraph" w:styleId="Textedebulles">
    <w:name w:val="Balloon Text"/>
    <w:basedOn w:val="Normal"/>
    <w:link w:val="TextedebullesCar"/>
    <w:uiPriority w:val="99"/>
    <w:semiHidden/>
    <w:unhideWhenUsed/>
    <w:rsid w:val="00BD0697"/>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0697"/>
    <w:rPr>
      <w:rFonts w:ascii="Segoe UI" w:hAnsi="Segoe UI" w:cs="Segoe UI"/>
      <w:sz w:val="18"/>
      <w:szCs w:val="18"/>
      <w:lang w:eastAsia="en-US"/>
    </w:rPr>
  </w:style>
  <w:style w:type="character" w:styleId="Marquedecommentaire">
    <w:name w:val="annotation reference"/>
    <w:basedOn w:val="Policepardfaut"/>
    <w:uiPriority w:val="99"/>
    <w:semiHidden/>
    <w:unhideWhenUsed/>
    <w:rsid w:val="00F65874"/>
    <w:rPr>
      <w:sz w:val="16"/>
      <w:szCs w:val="16"/>
    </w:rPr>
  </w:style>
  <w:style w:type="paragraph" w:styleId="Commentaire">
    <w:name w:val="annotation text"/>
    <w:basedOn w:val="Normal"/>
    <w:link w:val="CommentaireCar"/>
    <w:uiPriority w:val="99"/>
    <w:semiHidden/>
    <w:unhideWhenUsed/>
    <w:rsid w:val="00F65874"/>
    <w:rPr>
      <w:szCs w:val="20"/>
    </w:rPr>
  </w:style>
  <w:style w:type="character" w:customStyle="1" w:styleId="CommentaireCar">
    <w:name w:val="Commentaire Car"/>
    <w:basedOn w:val="Policepardfaut"/>
    <w:link w:val="Commentaire"/>
    <w:uiPriority w:val="99"/>
    <w:semiHidden/>
    <w:rsid w:val="00F65874"/>
    <w:rPr>
      <w:rFonts w:ascii="Tahoma" w:hAnsi="Tahoma"/>
      <w:lang w:eastAsia="en-US"/>
    </w:rPr>
  </w:style>
  <w:style w:type="paragraph" w:styleId="Objetducommentaire">
    <w:name w:val="annotation subject"/>
    <w:basedOn w:val="Commentaire"/>
    <w:next w:val="Commentaire"/>
    <w:link w:val="ObjetducommentaireCar"/>
    <w:uiPriority w:val="99"/>
    <w:semiHidden/>
    <w:unhideWhenUsed/>
    <w:rsid w:val="00F65874"/>
    <w:rPr>
      <w:b/>
      <w:bCs/>
    </w:rPr>
  </w:style>
  <w:style w:type="character" w:customStyle="1" w:styleId="ObjetducommentaireCar">
    <w:name w:val="Objet du commentaire Car"/>
    <w:basedOn w:val="CommentaireCar"/>
    <w:link w:val="Objetducommentaire"/>
    <w:uiPriority w:val="99"/>
    <w:semiHidden/>
    <w:rsid w:val="00F65874"/>
    <w:rPr>
      <w:rFonts w:ascii="Tahoma" w:hAnsi="Tahoma"/>
      <w:b/>
      <w:bCs/>
      <w:lang w:eastAsia="en-US"/>
    </w:rPr>
  </w:style>
  <w:style w:type="paragraph" w:styleId="Rvision">
    <w:name w:val="Revision"/>
    <w:hidden/>
    <w:uiPriority w:val="99"/>
    <w:semiHidden/>
    <w:rsid w:val="001B6F8E"/>
    <w:rPr>
      <w:rFonts w:ascii="Tahoma" w:hAnsi="Tahoma"/>
      <w:szCs w:val="22"/>
      <w:lang w:eastAsia="en-US"/>
    </w:rPr>
  </w:style>
  <w:style w:type="paragraph" w:styleId="TM6">
    <w:name w:val="toc 6"/>
    <w:basedOn w:val="Normal"/>
    <w:next w:val="Normal"/>
    <w:autoRedefine/>
    <w:uiPriority w:val="39"/>
    <w:unhideWhenUsed/>
    <w:rsid w:val="008602EF"/>
    <w:pPr>
      <w:spacing w:after="100" w:line="259" w:lineRule="auto"/>
      <w:ind w:left="1100"/>
      <w:jc w:val="left"/>
    </w:pPr>
    <w:rPr>
      <w:rFonts w:asciiTheme="minorHAnsi" w:eastAsiaTheme="minorEastAsia" w:hAnsiTheme="minorHAnsi" w:cstheme="minorBidi"/>
      <w:sz w:val="22"/>
      <w:lang w:eastAsia="en-GB"/>
    </w:rPr>
  </w:style>
  <w:style w:type="paragraph" w:styleId="TM7">
    <w:name w:val="toc 7"/>
    <w:basedOn w:val="Normal"/>
    <w:next w:val="Normal"/>
    <w:autoRedefine/>
    <w:uiPriority w:val="39"/>
    <w:unhideWhenUsed/>
    <w:rsid w:val="008602EF"/>
    <w:pPr>
      <w:spacing w:after="100" w:line="259" w:lineRule="auto"/>
      <w:ind w:left="1320"/>
      <w:jc w:val="left"/>
    </w:pPr>
    <w:rPr>
      <w:rFonts w:asciiTheme="minorHAnsi" w:eastAsiaTheme="minorEastAsia" w:hAnsiTheme="minorHAnsi" w:cstheme="minorBidi"/>
      <w:sz w:val="22"/>
      <w:lang w:eastAsia="en-GB"/>
    </w:rPr>
  </w:style>
  <w:style w:type="paragraph" w:styleId="TM8">
    <w:name w:val="toc 8"/>
    <w:basedOn w:val="Normal"/>
    <w:next w:val="Normal"/>
    <w:autoRedefine/>
    <w:uiPriority w:val="39"/>
    <w:unhideWhenUsed/>
    <w:rsid w:val="008602EF"/>
    <w:pPr>
      <w:spacing w:after="100" w:line="259" w:lineRule="auto"/>
      <w:ind w:left="1540"/>
      <w:jc w:val="left"/>
    </w:pPr>
    <w:rPr>
      <w:rFonts w:asciiTheme="minorHAnsi" w:eastAsiaTheme="minorEastAsia" w:hAnsiTheme="minorHAnsi" w:cstheme="minorBidi"/>
      <w:sz w:val="22"/>
      <w:lang w:eastAsia="en-GB"/>
    </w:rPr>
  </w:style>
  <w:style w:type="paragraph" w:styleId="TM9">
    <w:name w:val="toc 9"/>
    <w:basedOn w:val="Normal"/>
    <w:next w:val="Normal"/>
    <w:autoRedefine/>
    <w:uiPriority w:val="39"/>
    <w:unhideWhenUsed/>
    <w:rsid w:val="008602EF"/>
    <w:pPr>
      <w:spacing w:after="100" w:line="259" w:lineRule="auto"/>
      <w:ind w:left="1760"/>
      <w:jc w:val="left"/>
    </w:pPr>
    <w:rPr>
      <w:rFonts w:asciiTheme="minorHAnsi" w:eastAsiaTheme="minorEastAsia" w:hAnsiTheme="minorHAnsi" w:cstheme="minorBidi"/>
      <w:sz w:val="22"/>
      <w:lang w:eastAsia="en-GB"/>
    </w:rPr>
  </w:style>
  <w:style w:type="character" w:styleId="lev">
    <w:name w:val="Strong"/>
    <w:basedOn w:val="Policepardfaut"/>
    <w:uiPriority w:val="22"/>
    <w:qFormat/>
    <w:rsid w:val="00693E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unhideWhenUsed="0"/>
    <w:lsdException w:name="toc 7" w:uiPriority="39" w:unhideWhenUsed="0"/>
    <w:lsdException w:name="toc 8" w:uiPriority="39" w:unhideWhenUsed="0"/>
    <w:lsdException w:name="toc 9" w:uiPriority="39" w:unhideWhenUsed="0"/>
    <w:lsdException w:name="caption" w:uiPriority="35" w:qFormat="1"/>
    <w:lsdException w:name="endnote reference" w:uiPriority="0"/>
    <w:lsdException w:name="endnote text" w:uiPriority="0"/>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Number 2" w:qFormat="1"/>
    <w:lsdException w:name="List Number 3" w:qFormat="1"/>
    <w:lsdException w:name="Title" w:semiHidden="0" w:uiPriority="10" w:unhideWhenUsed="0" w:qFormat="1"/>
    <w:lsdException w:name="Default Paragraph Font" w:uiPriority="1"/>
    <w:lsdException w:name="Body Text" w:uiPriority="0" w:qFormat="1"/>
    <w:lsdException w:name="List Continue" w:qFormat="1"/>
    <w:lsdException w:name="List Continue 2" w:qFormat="1"/>
    <w:lsdException w:name="List Continue 3" w:qFormat="1"/>
    <w:lsdException w:name="List Continue 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AC1"/>
    <w:pPr>
      <w:jc w:val="both"/>
    </w:pPr>
    <w:rPr>
      <w:rFonts w:ascii="Tahoma" w:hAnsi="Tahoma"/>
      <w:szCs w:val="22"/>
      <w:lang w:eastAsia="en-US"/>
    </w:rPr>
  </w:style>
  <w:style w:type="paragraph" w:styleId="Titre1">
    <w:name w:val="heading 1"/>
    <w:basedOn w:val="Normal"/>
    <w:next w:val="Corpsdetexte"/>
    <w:link w:val="Titre1Car"/>
    <w:uiPriority w:val="9"/>
    <w:qFormat/>
    <w:rsid w:val="002C3808"/>
    <w:pPr>
      <w:keepNext/>
      <w:keepLines/>
      <w:pageBreakBefore/>
      <w:numPr>
        <w:numId w:val="8"/>
      </w:numPr>
      <w:spacing w:after="200"/>
      <w:outlineLvl w:val="0"/>
    </w:pPr>
    <w:rPr>
      <w:b/>
      <w:bCs/>
      <w:caps/>
      <w:color w:val="339966"/>
      <w:sz w:val="22"/>
      <w:szCs w:val="28"/>
    </w:rPr>
  </w:style>
  <w:style w:type="paragraph" w:styleId="Titre2">
    <w:name w:val="heading 2"/>
    <w:basedOn w:val="Normal"/>
    <w:next w:val="Corpsdetexte"/>
    <w:link w:val="Titre2Car"/>
    <w:uiPriority w:val="9"/>
    <w:qFormat/>
    <w:rsid w:val="002C3808"/>
    <w:pPr>
      <w:keepNext/>
      <w:keepLines/>
      <w:numPr>
        <w:ilvl w:val="1"/>
        <w:numId w:val="8"/>
      </w:numPr>
      <w:spacing w:after="200"/>
      <w:outlineLvl w:val="1"/>
    </w:pPr>
    <w:rPr>
      <w:b/>
      <w:bCs/>
      <w:color w:val="339966"/>
      <w:sz w:val="22"/>
      <w:szCs w:val="26"/>
    </w:rPr>
  </w:style>
  <w:style w:type="paragraph" w:styleId="Titre3">
    <w:name w:val="heading 3"/>
    <w:basedOn w:val="Normal"/>
    <w:next w:val="Corpsdetexte"/>
    <w:link w:val="Titre3Car"/>
    <w:uiPriority w:val="9"/>
    <w:qFormat/>
    <w:rsid w:val="002C3808"/>
    <w:pPr>
      <w:keepNext/>
      <w:keepLines/>
      <w:numPr>
        <w:ilvl w:val="2"/>
        <w:numId w:val="8"/>
      </w:numPr>
      <w:spacing w:after="200"/>
      <w:outlineLvl w:val="2"/>
    </w:pPr>
    <w:rPr>
      <w:b/>
      <w:bCs/>
      <w:color w:val="339966"/>
    </w:rPr>
  </w:style>
  <w:style w:type="paragraph" w:styleId="Titre4">
    <w:name w:val="heading 4"/>
    <w:basedOn w:val="Normal"/>
    <w:next w:val="Corpsdetexte"/>
    <w:link w:val="Titre4Car"/>
    <w:uiPriority w:val="9"/>
    <w:qFormat/>
    <w:rsid w:val="002C3808"/>
    <w:pPr>
      <w:keepNext/>
      <w:keepLines/>
      <w:ind w:left="720"/>
      <w:outlineLvl w:val="3"/>
    </w:pPr>
    <w:rPr>
      <w:b/>
      <w:bCs/>
      <w:i/>
      <w:iCs/>
      <w:color w:val="339966"/>
    </w:rPr>
  </w:style>
  <w:style w:type="paragraph" w:styleId="Titre5">
    <w:name w:val="heading 5"/>
    <w:basedOn w:val="Normal"/>
    <w:next w:val="Corpsdetexte"/>
    <w:link w:val="Titre5Car"/>
    <w:uiPriority w:val="9"/>
    <w:qFormat/>
    <w:rsid w:val="002C3808"/>
    <w:pPr>
      <w:keepNext/>
      <w:keepLines/>
      <w:ind w:left="720"/>
      <w:outlineLvl w:val="4"/>
    </w:pPr>
    <w:rPr>
      <w:color w:val="339966"/>
      <w:u w:val="single"/>
    </w:rPr>
  </w:style>
  <w:style w:type="paragraph" w:styleId="Titre6">
    <w:name w:val="heading 6"/>
    <w:basedOn w:val="Normal"/>
    <w:next w:val="Normal"/>
    <w:link w:val="Titre6Car"/>
    <w:uiPriority w:val="9"/>
    <w:qFormat/>
    <w:rsid w:val="00310652"/>
    <w:pPr>
      <w:keepNext/>
      <w:keepLines/>
      <w:spacing w:before="200"/>
      <w:outlineLvl w:val="5"/>
    </w:pPr>
    <w:rPr>
      <w:rFonts w:eastAsia="Times New Roman"/>
      <w:i/>
      <w:iCs/>
      <w:sz w:val="22"/>
    </w:rPr>
  </w:style>
  <w:style w:type="paragraph" w:styleId="Titre7">
    <w:name w:val="heading 7"/>
    <w:basedOn w:val="Normal"/>
    <w:next w:val="Normal"/>
    <w:link w:val="Titre7Car"/>
    <w:uiPriority w:val="9"/>
    <w:qFormat/>
    <w:rsid w:val="0088042D"/>
    <w:pPr>
      <w:keepNext/>
      <w:keepLines/>
      <w:spacing w:before="200"/>
      <w:outlineLvl w:val="6"/>
    </w:pPr>
    <w:rPr>
      <w:rFonts w:ascii="Cambria" w:eastAsia="Times New Roman" w:hAnsi="Cambria"/>
      <w:i/>
      <w:iCs/>
      <w:color w:val="40404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aliases w:val="Body Text2,Document,Tempo Body Text,bt,body text,BODY TEXT,t,Tempo Body Text1,Tempo Body Text2,Tempo Body Text3,Tempo Body Text4,Tempo Body Text5,Tempo Body Text6,Tempo Body Text7,Tempo Body Text8,Tempo Body Text9,b,Body,P,body,Text,Bod"/>
    <w:basedOn w:val="Normal"/>
    <w:link w:val="CorpsdetexteCar"/>
    <w:qFormat/>
    <w:rsid w:val="001356F4"/>
    <w:pPr>
      <w:spacing w:after="165" w:line="240" w:lineRule="atLeast"/>
      <w:ind w:left="720"/>
    </w:pPr>
  </w:style>
  <w:style w:type="character" w:customStyle="1" w:styleId="CorpsdetexteCar">
    <w:name w:val="Corps de texte Car"/>
    <w:aliases w:val="Body Text2 Car,Document Car,Tempo Body Text Car,bt Car,body text Car,BODY TEXT Car,t Car,Tempo Body Text1 Car,Tempo Body Text2 Car,Tempo Body Text3 Car,Tempo Body Text4 Car,Tempo Body Text5 Car,Tempo Body Text6 Car,b Car,Body Car"/>
    <w:link w:val="Corpsdetexte"/>
    <w:rsid w:val="001356F4"/>
    <w:rPr>
      <w:rFonts w:ascii="Tahoma" w:eastAsia="Calibri" w:hAnsi="Tahoma"/>
      <w:szCs w:val="22"/>
      <w:lang w:val="en-GB" w:eastAsia="en-US" w:bidi="ar-SA"/>
    </w:rPr>
  </w:style>
  <w:style w:type="character" w:customStyle="1" w:styleId="Titre1Car">
    <w:name w:val="Titre 1 Car"/>
    <w:link w:val="Titre1"/>
    <w:uiPriority w:val="9"/>
    <w:rsid w:val="002C3808"/>
    <w:rPr>
      <w:rFonts w:ascii="Tahoma" w:hAnsi="Tahoma"/>
      <w:b/>
      <w:bCs/>
      <w:caps/>
      <w:color w:val="339966"/>
      <w:sz w:val="22"/>
      <w:szCs w:val="28"/>
      <w:lang w:eastAsia="en-US"/>
    </w:rPr>
  </w:style>
  <w:style w:type="character" w:customStyle="1" w:styleId="Titre2Car">
    <w:name w:val="Titre 2 Car"/>
    <w:link w:val="Titre2"/>
    <w:uiPriority w:val="9"/>
    <w:rsid w:val="002C3808"/>
    <w:rPr>
      <w:rFonts w:ascii="Tahoma" w:hAnsi="Tahoma"/>
      <w:b/>
      <w:bCs/>
      <w:color w:val="339966"/>
      <w:sz w:val="22"/>
      <w:szCs w:val="26"/>
      <w:lang w:eastAsia="en-US"/>
    </w:rPr>
  </w:style>
  <w:style w:type="character" w:customStyle="1" w:styleId="Titre3Car">
    <w:name w:val="Titre 3 Car"/>
    <w:link w:val="Titre3"/>
    <w:uiPriority w:val="9"/>
    <w:rsid w:val="002C3808"/>
    <w:rPr>
      <w:rFonts w:ascii="Tahoma" w:hAnsi="Tahoma"/>
      <w:b/>
      <w:bCs/>
      <w:color w:val="339966"/>
      <w:szCs w:val="22"/>
      <w:lang w:eastAsia="en-US"/>
    </w:rPr>
  </w:style>
  <w:style w:type="character" w:customStyle="1" w:styleId="Titre4Car">
    <w:name w:val="Titre 4 Car"/>
    <w:link w:val="Titre4"/>
    <w:uiPriority w:val="9"/>
    <w:semiHidden/>
    <w:rsid w:val="002C3808"/>
    <w:rPr>
      <w:rFonts w:ascii="Tahoma" w:hAnsi="Tahoma"/>
      <w:b/>
      <w:bCs/>
      <w:i/>
      <w:iCs/>
      <w:color w:val="339966"/>
      <w:szCs w:val="22"/>
      <w:lang w:val="en-GB" w:eastAsia="en-US" w:bidi="ar-SA"/>
    </w:rPr>
  </w:style>
  <w:style w:type="character" w:customStyle="1" w:styleId="Titre5Car">
    <w:name w:val="Titre 5 Car"/>
    <w:link w:val="Titre5"/>
    <w:uiPriority w:val="9"/>
    <w:semiHidden/>
    <w:rsid w:val="002C3808"/>
    <w:rPr>
      <w:rFonts w:ascii="Tahoma" w:hAnsi="Tahoma"/>
      <w:color w:val="339966"/>
      <w:szCs w:val="22"/>
      <w:u w:val="single"/>
      <w:lang w:val="en-GB" w:eastAsia="en-US" w:bidi="ar-SA"/>
    </w:rPr>
  </w:style>
  <w:style w:type="character" w:customStyle="1" w:styleId="Titre6Car">
    <w:name w:val="Titre 6 Car"/>
    <w:link w:val="Titre6"/>
    <w:uiPriority w:val="9"/>
    <w:semiHidden/>
    <w:rsid w:val="007E7CE1"/>
    <w:rPr>
      <w:rFonts w:ascii="Tahoma" w:eastAsia="Times New Roman" w:hAnsi="Tahoma"/>
      <w:i/>
      <w:iCs/>
      <w:sz w:val="22"/>
      <w:szCs w:val="22"/>
      <w:lang w:eastAsia="en-US"/>
    </w:rPr>
  </w:style>
  <w:style w:type="character" w:customStyle="1" w:styleId="Titre7Car">
    <w:name w:val="Titre 7 Car"/>
    <w:link w:val="Titre7"/>
    <w:uiPriority w:val="9"/>
    <w:semiHidden/>
    <w:rsid w:val="007E7CE1"/>
    <w:rPr>
      <w:rFonts w:eastAsia="Times New Roman"/>
      <w:i/>
      <w:iCs/>
      <w:color w:val="404040"/>
      <w:sz w:val="22"/>
      <w:szCs w:val="22"/>
      <w:lang w:eastAsia="en-US"/>
    </w:rPr>
  </w:style>
  <w:style w:type="paragraph" w:styleId="Listenumros">
    <w:name w:val="List Number"/>
    <w:basedOn w:val="Normal"/>
    <w:uiPriority w:val="99"/>
    <w:unhideWhenUsed/>
    <w:qFormat/>
    <w:rsid w:val="002C3808"/>
    <w:pPr>
      <w:numPr>
        <w:numId w:val="10"/>
      </w:numPr>
      <w:spacing w:line="240" w:lineRule="atLeast"/>
    </w:pPr>
  </w:style>
  <w:style w:type="paragraph" w:customStyle="1" w:styleId="ExSumHeading1">
    <w:name w:val="Ex Sum Heading 1"/>
    <w:basedOn w:val="Normal"/>
    <w:next w:val="ExSumBodyText"/>
    <w:qFormat/>
    <w:rsid w:val="002C3808"/>
    <w:pPr>
      <w:keepNext/>
      <w:keepLines/>
      <w:spacing w:after="200"/>
      <w:outlineLvl w:val="0"/>
    </w:pPr>
    <w:rPr>
      <w:rFonts w:eastAsia="Times New Roman"/>
      <w:b/>
      <w:bCs/>
      <w:caps/>
      <w:color w:val="339966"/>
      <w:sz w:val="22"/>
      <w:szCs w:val="28"/>
    </w:rPr>
  </w:style>
  <w:style w:type="paragraph" w:customStyle="1" w:styleId="ExSumBodyText">
    <w:name w:val="Ex Sum Body Text"/>
    <w:basedOn w:val="Corpsdetexte"/>
    <w:qFormat/>
    <w:rsid w:val="00F82362"/>
    <w:pPr>
      <w:ind w:left="0"/>
    </w:pPr>
  </w:style>
  <w:style w:type="paragraph" w:styleId="TM4">
    <w:name w:val="toc 4"/>
    <w:basedOn w:val="Normal"/>
    <w:next w:val="Normal"/>
    <w:uiPriority w:val="39"/>
    <w:rsid w:val="00BB00BC"/>
    <w:pPr>
      <w:tabs>
        <w:tab w:val="right" w:pos="9639"/>
      </w:tabs>
      <w:spacing w:after="20"/>
      <w:ind w:right="567"/>
    </w:pPr>
  </w:style>
  <w:style w:type="paragraph" w:styleId="TM5">
    <w:name w:val="toc 5"/>
    <w:basedOn w:val="Normal"/>
    <w:next w:val="Normal"/>
    <w:uiPriority w:val="39"/>
    <w:rsid w:val="00BB00BC"/>
    <w:pPr>
      <w:numPr>
        <w:numId w:val="3"/>
      </w:numPr>
      <w:tabs>
        <w:tab w:val="clear" w:pos="720"/>
        <w:tab w:val="num" w:pos="360"/>
        <w:tab w:val="right" w:pos="9639"/>
      </w:tabs>
      <w:ind w:left="0" w:right="567" w:firstLine="0"/>
    </w:pPr>
  </w:style>
  <w:style w:type="paragraph" w:styleId="Listepuces">
    <w:name w:val="List Bullet"/>
    <w:basedOn w:val="Normal"/>
    <w:uiPriority w:val="99"/>
    <w:unhideWhenUsed/>
    <w:qFormat/>
    <w:rsid w:val="0073349E"/>
    <w:pPr>
      <w:numPr>
        <w:numId w:val="17"/>
      </w:numPr>
      <w:spacing w:line="240" w:lineRule="atLeast"/>
    </w:pPr>
  </w:style>
  <w:style w:type="paragraph" w:styleId="Listepuces2">
    <w:name w:val="List Bullet 2"/>
    <w:basedOn w:val="Normal"/>
    <w:uiPriority w:val="99"/>
    <w:unhideWhenUsed/>
    <w:qFormat/>
    <w:rsid w:val="0073349E"/>
    <w:pPr>
      <w:numPr>
        <w:ilvl w:val="1"/>
        <w:numId w:val="9"/>
      </w:numPr>
      <w:spacing w:line="240" w:lineRule="atLeast"/>
    </w:pPr>
  </w:style>
  <w:style w:type="paragraph" w:styleId="Pieddepage">
    <w:name w:val="footer"/>
    <w:basedOn w:val="Normal"/>
    <w:link w:val="PieddepageCar"/>
    <w:uiPriority w:val="99"/>
    <w:rsid w:val="00FC2168"/>
    <w:pPr>
      <w:pBdr>
        <w:top w:val="single" w:sz="4" w:space="6" w:color="auto"/>
      </w:pBdr>
      <w:tabs>
        <w:tab w:val="center" w:pos="4680"/>
        <w:tab w:val="right" w:pos="9360"/>
      </w:tabs>
      <w:jc w:val="center"/>
    </w:pPr>
    <w:rPr>
      <w:b/>
      <w:sz w:val="16"/>
    </w:rPr>
  </w:style>
  <w:style w:type="character" w:customStyle="1" w:styleId="PieddepageCar">
    <w:name w:val="Pied de page Car"/>
    <w:link w:val="Pieddepage"/>
    <w:uiPriority w:val="99"/>
    <w:rsid w:val="00FC2168"/>
    <w:rPr>
      <w:rFonts w:ascii="Tahoma" w:eastAsia="Calibri" w:hAnsi="Tahoma"/>
      <w:b/>
      <w:sz w:val="16"/>
      <w:szCs w:val="22"/>
      <w:lang w:val="en-GB" w:eastAsia="en-US" w:bidi="ar-SA"/>
    </w:rPr>
  </w:style>
  <w:style w:type="paragraph" w:styleId="En-tte">
    <w:name w:val="header"/>
    <w:basedOn w:val="Normal"/>
    <w:link w:val="En-tteCar"/>
    <w:uiPriority w:val="99"/>
    <w:semiHidden/>
    <w:rsid w:val="003E6F9D"/>
    <w:pPr>
      <w:pBdr>
        <w:bottom w:val="single" w:sz="4" w:space="2" w:color="auto"/>
      </w:pBdr>
      <w:tabs>
        <w:tab w:val="right" w:pos="9639"/>
      </w:tabs>
    </w:pPr>
    <w:rPr>
      <w:b/>
      <w:sz w:val="16"/>
    </w:rPr>
  </w:style>
  <w:style w:type="character" w:customStyle="1" w:styleId="En-tteCar">
    <w:name w:val="En-tête Car"/>
    <w:link w:val="En-tte"/>
    <w:uiPriority w:val="99"/>
    <w:semiHidden/>
    <w:rsid w:val="003E6F9D"/>
    <w:rPr>
      <w:rFonts w:ascii="Tahoma" w:eastAsia="Calibri" w:hAnsi="Tahoma"/>
      <w:b/>
      <w:sz w:val="16"/>
      <w:szCs w:val="22"/>
      <w:lang w:val="en-GB" w:eastAsia="en-US" w:bidi="ar-SA"/>
    </w:rPr>
  </w:style>
  <w:style w:type="character" w:styleId="Numrodepage">
    <w:name w:val="page number"/>
    <w:uiPriority w:val="99"/>
    <w:semiHidden/>
    <w:unhideWhenUsed/>
    <w:rsid w:val="00F16BDE"/>
    <w:rPr>
      <w:rFonts w:ascii="Arial" w:hAnsi="Arial"/>
      <w:sz w:val="20"/>
    </w:rPr>
  </w:style>
  <w:style w:type="paragraph" w:styleId="Titre">
    <w:name w:val="Title"/>
    <w:basedOn w:val="Normal"/>
    <w:next w:val="Normal"/>
    <w:link w:val="TitreCar"/>
    <w:uiPriority w:val="10"/>
    <w:qFormat/>
    <w:rsid w:val="001850C9"/>
    <w:pPr>
      <w:spacing w:after="120"/>
      <w:jc w:val="center"/>
    </w:pPr>
    <w:rPr>
      <w:b/>
      <w:i/>
      <w:caps/>
      <w:color w:val="339966"/>
      <w:kern w:val="28"/>
      <w:szCs w:val="52"/>
    </w:rPr>
  </w:style>
  <w:style w:type="character" w:customStyle="1" w:styleId="TitreCar">
    <w:name w:val="Titre Car"/>
    <w:link w:val="Titre"/>
    <w:uiPriority w:val="10"/>
    <w:rsid w:val="001850C9"/>
    <w:rPr>
      <w:rFonts w:ascii="Tahoma" w:hAnsi="Tahoma"/>
      <w:b/>
      <w:i/>
      <w:caps/>
      <w:color w:val="339966"/>
      <w:kern w:val="28"/>
      <w:szCs w:val="52"/>
      <w:lang w:val="en-GB" w:eastAsia="en-US" w:bidi="ar-SA"/>
    </w:rPr>
  </w:style>
  <w:style w:type="paragraph" w:styleId="TM1">
    <w:name w:val="toc 1"/>
    <w:basedOn w:val="Normal"/>
    <w:next w:val="Normal"/>
    <w:uiPriority w:val="39"/>
    <w:rsid w:val="00BB00BC"/>
    <w:pPr>
      <w:tabs>
        <w:tab w:val="left" w:pos="720"/>
        <w:tab w:val="right" w:pos="9639"/>
      </w:tabs>
      <w:spacing w:before="200" w:after="20"/>
      <w:ind w:left="720" w:right="567" w:hanging="720"/>
    </w:pPr>
    <w:rPr>
      <w:b/>
      <w:caps/>
      <w:color w:val="339966"/>
    </w:rPr>
  </w:style>
  <w:style w:type="paragraph" w:styleId="TM2">
    <w:name w:val="toc 2"/>
    <w:basedOn w:val="Normal"/>
    <w:next w:val="Normal"/>
    <w:uiPriority w:val="39"/>
    <w:rsid w:val="00BB00BC"/>
    <w:pPr>
      <w:tabs>
        <w:tab w:val="left" w:pos="1304"/>
        <w:tab w:val="right" w:pos="9639"/>
      </w:tabs>
      <w:spacing w:after="20"/>
      <w:ind w:left="1304" w:right="567" w:hanging="584"/>
    </w:pPr>
  </w:style>
  <w:style w:type="paragraph" w:styleId="TM3">
    <w:name w:val="toc 3"/>
    <w:basedOn w:val="Normal"/>
    <w:next w:val="Normal"/>
    <w:uiPriority w:val="39"/>
    <w:rsid w:val="00BB00BC"/>
    <w:pPr>
      <w:tabs>
        <w:tab w:val="left" w:pos="1673"/>
        <w:tab w:val="right" w:pos="9639"/>
      </w:tabs>
      <w:spacing w:after="20"/>
      <w:ind w:left="1888" w:right="567" w:hanging="584"/>
    </w:pPr>
  </w:style>
  <w:style w:type="table" w:styleId="Grilledutableau">
    <w:name w:val="Table Grid"/>
    <w:basedOn w:val="TableauNormal"/>
    <w:uiPriority w:val="59"/>
    <w:rsid w:val="00183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urText">
    <w:name w:val="Colour Text"/>
    <w:basedOn w:val="Normal"/>
    <w:qFormat/>
    <w:rsid w:val="002C3808"/>
    <w:pPr>
      <w:ind w:left="1701"/>
    </w:pPr>
    <w:rPr>
      <w:color w:val="339966"/>
    </w:rPr>
  </w:style>
  <w:style w:type="paragraph" w:styleId="Date">
    <w:name w:val="Date"/>
    <w:basedOn w:val="Normal"/>
    <w:next w:val="Normal"/>
    <w:link w:val="DateCar"/>
    <w:uiPriority w:val="99"/>
    <w:rsid w:val="001850C9"/>
    <w:pPr>
      <w:spacing w:after="120"/>
      <w:jc w:val="center"/>
    </w:pPr>
    <w:rPr>
      <w:b/>
      <w:color w:val="339966"/>
    </w:rPr>
  </w:style>
  <w:style w:type="character" w:customStyle="1" w:styleId="DateCar">
    <w:name w:val="Date Car"/>
    <w:link w:val="Date"/>
    <w:uiPriority w:val="99"/>
    <w:rsid w:val="001850C9"/>
    <w:rPr>
      <w:rFonts w:ascii="Tahoma" w:eastAsia="Calibri" w:hAnsi="Tahoma"/>
      <w:b/>
      <w:color w:val="339966"/>
      <w:szCs w:val="22"/>
      <w:lang w:val="en-GB" w:eastAsia="en-US" w:bidi="ar-SA"/>
    </w:rPr>
  </w:style>
  <w:style w:type="paragraph" w:customStyle="1" w:styleId="ContentsHeading">
    <w:name w:val="Contents Heading"/>
    <w:basedOn w:val="Titre1"/>
    <w:next w:val="Normal"/>
    <w:qFormat/>
    <w:rsid w:val="003F5B76"/>
    <w:pPr>
      <w:pageBreakBefore w:val="0"/>
      <w:numPr>
        <w:numId w:val="0"/>
      </w:numPr>
      <w:tabs>
        <w:tab w:val="right" w:pos="9639"/>
      </w:tabs>
    </w:pPr>
    <w:rPr>
      <w:sz w:val="20"/>
    </w:rPr>
  </w:style>
  <w:style w:type="paragraph" w:customStyle="1" w:styleId="TableHeading">
    <w:name w:val="Table Heading"/>
    <w:basedOn w:val="Corpsdetexte"/>
    <w:qFormat/>
    <w:rsid w:val="00094531"/>
    <w:pPr>
      <w:numPr>
        <w:numId w:val="7"/>
      </w:numPr>
    </w:pPr>
    <w:rPr>
      <w:b/>
      <w:u w:val="single"/>
    </w:rPr>
  </w:style>
  <w:style w:type="paragraph" w:styleId="Citation">
    <w:name w:val="Quote"/>
    <w:basedOn w:val="Normal"/>
    <w:next w:val="Corpsdetexte"/>
    <w:link w:val="CitationCar"/>
    <w:uiPriority w:val="29"/>
    <w:qFormat/>
    <w:rsid w:val="002C3808"/>
    <w:pPr>
      <w:spacing w:after="165" w:line="240" w:lineRule="atLeast"/>
      <w:ind w:left="720"/>
      <w:jc w:val="center"/>
    </w:pPr>
    <w:rPr>
      <w:i/>
      <w:iCs/>
      <w:color w:val="339966"/>
    </w:rPr>
  </w:style>
  <w:style w:type="character" w:customStyle="1" w:styleId="CitationCar">
    <w:name w:val="Citation Car"/>
    <w:link w:val="Citation"/>
    <w:uiPriority w:val="29"/>
    <w:rsid w:val="002C3808"/>
    <w:rPr>
      <w:rFonts w:ascii="Tahoma" w:eastAsia="Calibri" w:hAnsi="Tahoma"/>
      <w:i/>
      <w:iCs/>
      <w:color w:val="339966"/>
      <w:szCs w:val="22"/>
      <w:lang w:val="en-GB" w:eastAsia="en-US" w:bidi="ar-SA"/>
    </w:rPr>
  </w:style>
  <w:style w:type="character" w:customStyle="1" w:styleId="ColourCharacters">
    <w:name w:val="Colour Characters"/>
    <w:uiPriority w:val="1"/>
    <w:qFormat/>
    <w:rsid w:val="002C3808"/>
    <w:rPr>
      <w:color w:val="339966"/>
    </w:rPr>
  </w:style>
  <w:style w:type="paragraph" w:styleId="Notedebasdepage">
    <w:name w:val="footnote text"/>
    <w:basedOn w:val="Normal"/>
    <w:link w:val="NotedebasdepageCar"/>
    <w:uiPriority w:val="99"/>
    <w:semiHidden/>
    <w:unhideWhenUsed/>
    <w:rsid w:val="00822AC1"/>
    <w:rPr>
      <w:sz w:val="16"/>
      <w:szCs w:val="20"/>
    </w:rPr>
  </w:style>
  <w:style w:type="character" w:customStyle="1" w:styleId="NotedebasdepageCar">
    <w:name w:val="Note de bas de page Car"/>
    <w:link w:val="Notedebasdepage"/>
    <w:uiPriority w:val="99"/>
    <w:semiHidden/>
    <w:rsid w:val="00822AC1"/>
    <w:rPr>
      <w:rFonts w:ascii="Tahoma" w:eastAsia="Calibri" w:hAnsi="Tahoma"/>
      <w:sz w:val="16"/>
      <w:lang w:val="en-GB" w:eastAsia="en-US" w:bidi="ar-SA"/>
    </w:rPr>
  </w:style>
  <w:style w:type="character" w:styleId="Appelnotedebasdep">
    <w:name w:val="footnote reference"/>
    <w:uiPriority w:val="99"/>
    <w:semiHidden/>
    <w:unhideWhenUsed/>
    <w:rsid w:val="00C27A67"/>
    <w:rPr>
      <w:vertAlign w:val="superscript"/>
    </w:rPr>
  </w:style>
  <w:style w:type="paragraph" w:customStyle="1" w:styleId="TableListBullet">
    <w:name w:val="Table List Bullet"/>
    <w:basedOn w:val="Corpsdetexte"/>
    <w:qFormat/>
    <w:rsid w:val="001356F4"/>
    <w:pPr>
      <w:numPr>
        <w:numId w:val="2"/>
      </w:numPr>
      <w:spacing w:after="0"/>
      <w:jc w:val="left"/>
    </w:pPr>
  </w:style>
  <w:style w:type="paragraph" w:customStyle="1" w:styleId="TableText">
    <w:name w:val="Table Text"/>
    <w:basedOn w:val="Normal"/>
    <w:qFormat/>
    <w:rsid w:val="00CE68D2"/>
    <w:pPr>
      <w:spacing w:line="240" w:lineRule="atLeast"/>
    </w:pPr>
  </w:style>
  <w:style w:type="paragraph" w:customStyle="1" w:styleId="TableColourText">
    <w:name w:val="Table Colour Text"/>
    <w:basedOn w:val="Normal"/>
    <w:qFormat/>
    <w:rsid w:val="002C3808"/>
    <w:pPr>
      <w:spacing w:after="165" w:line="240" w:lineRule="atLeast"/>
    </w:pPr>
    <w:rPr>
      <w:color w:val="339966"/>
    </w:rPr>
  </w:style>
  <w:style w:type="paragraph" w:customStyle="1" w:styleId="AppendixTitle">
    <w:name w:val="Appendix Title"/>
    <w:basedOn w:val="Titre"/>
    <w:next w:val="AppendixSubtitle"/>
    <w:qFormat/>
    <w:rsid w:val="00EE04A8"/>
    <w:pPr>
      <w:numPr>
        <w:numId w:val="11"/>
      </w:numPr>
      <w:spacing w:before="5660" w:after="300"/>
      <w:ind w:left="0" w:firstLine="0"/>
    </w:pPr>
    <w:rPr>
      <w:i w:val="0"/>
      <w:sz w:val="40"/>
    </w:rPr>
  </w:style>
  <w:style w:type="paragraph" w:customStyle="1" w:styleId="AppendixSubtitle">
    <w:name w:val="Appendix Subtitle"/>
    <w:basedOn w:val="Normal"/>
    <w:next w:val="AppendixBodyText"/>
    <w:qFormat/>
    <w:rsid w:val="00210BC3"/>
    <w:pPr>
      <w:numPr>
        <w:ilvl w:val="1"/>
      </w:numPr>
      <w:spacing w:after="200"/>
      <w:jc w:val="center"/>
    </w:pPr>
    <w:rPr>
      <w:rFonts w:eastAsia="Times New Roman"/>
      <w:b/>
      <w:iCs/>
      <w:color w:val="339966"/>
      <w:sz w:val="40"/>
      <w:szCs w:val="24"/>
      <w:u w:val="single"/>
    </w:rPr>
  </w:style>
  <w:style w:type="paragraph" w:customStyle="1" w:styleId="AppendixBodyText">
    <w:name w:val="Appendix Body Text"/>
    <w:basedOn w:val="Corpsdetexte"/>
    <w:rsid w:val="005069D0"/>
    <w:pPr>
      <w:ind w:left="0"/>
    </w:pPr>
  </w:style>
  <w:style w:type="paragraph" w:customStyle="1" w:styleId="AppendixHeader">
    <w:name w:val="Appendix Header"/>
    <w:basedOn w:val="En-tte"/>
    <w:semiHidden/>
    <w:qFormat/>
    <w:rsid w:val="00FC2168"/>
  </w:style>
  <w:style w:type="paragraph" w:customStyle="1" w:styleId="TableListNumber">
    <w:name w:val="Table List Number"/>
    <w:basedOn w:val="Listenumros"/>
    <w:rsid w:val="001356F4"/>
    <w:pPr>
      <w:numPr>
        <w:numId w:val="1"/>
      </w:numPr>
    </w:pPr>
  </w:style>
  <w:style w:type="paragraph" w:customStyle="1" w:styleId="ColumnHeading">
    <w:name w:val="Column Heading"/>
    <w:basedOn w:val="Normal"/>
    <w:rsid w:val="001356F4"/>
    <w:rPr>
      <w:b/>
      <w:color w:val="FFFFFF"/>
    </w:rPr>
  </w:style>
  <w:style w:type="paragraph" w:customStyle="1" w:styleId="RowHeading">
    <w:name w:val="Row Heading"/>
    <w:basedOn w:val="Normal"/>
    <w:rsid w:val="001356F4"/>
    <w:rPr>
      <w:b/>
      <w:color w:val="FFFFFF"/>
    </w:rPr>
  </w:style>
  <w:style w:type="character" w:styleId="Lienhypertexte">
    <w:name w:val="Hyperlink"/>
    <w:uiPriority w:val="99"/>
    <w:rsid w:val="006E6E18"/>
    <w:rPr>
      <w:color w:val="0000FF"/>
      <w:u w:val="single"/>
    </w:rPr>
  </w:style>
  <w:style w:type="paragraph" w:customStyle="1" w:styleId="LandscapeHeader">
    <w:name w:val="Landscape Header"/>
    <w:basedOn w:val="En-tte"/>
    <w:semiHidden/>
    <w:rsid w:val="009668C5"/>
    <w:pPr>
      <w:tabs>
        <w:tab w:val="clear" w:pos="9639"/>
        <w:tab w:val="right" w:pos="14572"/>
      </w:tabs>
    </w:pPr>
  </w:style>
  <w:style w:type="paragraph" w:customStyle="1" w:styleId="CoverFooter">
    <w:name w:val="Cover Footer"/>
    <w:basedOn w:val="Pieddepage"/>
    <w:semiHidden/>
    <w:rsid w:val="00FC2168"/>
    <w:pPr>
      <w:pBdr>
        <w:top w:val="none" w:sz="0" w:space="0" w:color="auto"/>
      </w:pBdr>
    </w:pPr>
    <w:rPr>
      <w:b w:val="0"/>
    </w:rPr>
  </w:style>
  <w:style w:type="paragraph" w:customStyle="1" w:styleId="CoverText">
    <w:name w:val="Cover Text"/>
    <w:basedOn w:val="Normal"/>
    <w:rsid w:val="001850C9"/>
    <w:pPr>
      <w:spacing w:after="120"/>
      <w:jc w:val="center"/>
    </w:pPr>
  </w:style>
  <w:style w:type="paragraph" w:customStyle="1" w:styleId="FigureHeading">
    <w:name w:val="Figure Heading"/>
    <w:basedOn w:val="TableHeading"/>
    <w:next w:val="Corpsdetexte"/>
    <w:qFormat/>
    <w:rsid w:val="00822AC1"/>
    <w:pPr>
      <w:numPr>
        <w:numId w:val="6"/>
      </w:numPr>
    </w:pPr>
  </w:style>
  <w:style w:type="paragraph" w:customStyle="1" w:styleId="ExSumHeading2">
    <w:name w:val="Ex Sum Heading 2"/>
    <w:basedOn w:val="ExSumHeading1"/>
    <w:next w:val="ExSumBodyText"/>
    <w:qFormat/>
    <w:rsid w:val="00F82362"/>
    <w:rPr>
      <w:caps w:val="0"/>
    </w:rPr>
  </w:style>
  <w:style w:type="paragraph" w:customStyle="1" w:styleId="ExSumHeading3">
    <w:name w:val="Ex Sum Heading 3"/>
    <w:basedOn w:val="ExSumHeading2"/>
    <w:next w:val="ExSumBodyText"/>
    <w:qFormat/>
    <w:rsid w:val="00F82362"/>
    <w:rPr>
      <w:sz w:val="20"/>
    </w:rPr>
  </w:style>
  <w:style w:type="paragraph" w:customStyle="1" w:styleId="ExSumHeading4">
    <w:name w:val="Ex Sum Heading 4"/>
    <w:basedOn w:val="ExSumHeading3"/>
    <w:next w:val="ExSumBodyText"/>
    <w:qFormat/>
    <w:rsid w:val="00F82362"/>
    <w:pPr>
      <w:spacing w:after="0"/>
    </w:pPr>
    <w:rPr>
      <w:i/>
    </w:rPr>
  </w:style>
  <w:style w:type="paragraph" w:customStyle="1" w:styleId="ExSumBullet1">
    <w:name w:val="Ex Sum Bullet 1"/>
    <w:basedOn w:val="ExSumBodyText"/>
    <w:qFormat/>
    <w:rsid w:val="00822AC1"/>
    <w:pPr>
      <w:numPr>
        <w:numId w:val="4"/>
      </w:numPr>
      <w:spacing w:after="0"/>
      <w:ind w:left="584" w:hanging="584"/>
    </w:pPr>
  </w:style>
  <w:style w:type="paragraph" w:customStyle="1" w:styleId="ExSumNumber1">
    <w:name w:val="Ex Sum Number 1"/>
    <w:basedOn w:val="ExSumBodyText"/>
    <w:qFormat/>
    <w:rsid w:val="00822AC1"/>
    <w:pPr>
      <w:numPr>
        <w:numId w:val="5"/>
      </w:numPr>
      <w:spacing w:after="0"/>
      <w:ind w:left="584" w:hanging="584"/>
    </w:pPr>
  </w:style>
  <w:style w:type="paragraph" w:customStyle="1" w:styleId="AppendixLandscapeHeader">
    <w:name w:val="Appendix Landscape Header"/>
    <w:basedOn w:val="AppendixHeader"/>
    <w:next w:val="Normal"/>
    <w:semiHidden/>
    <w:rsid w:val="00BC58AA"/>
    <w:pPr>
      <w:tabs>
        <w:tab w:val="clear" w:pos="9639"/>
        <w:tab w:val="right" w:pos="14572"/>
      </w:tabs>
    </w:pPr>
  </w:style>
  <w:style w:type="paragraph" w:customStyle="1" w:styleId="FirstBullet">
    <w:name w:val="First Bullet"/>
    <w:basedOn w:val="Listepuces"/>
    <w:next w:val="Listepuces"/>
    <w:qFormat/>
    <w:rsid w:val="00210BC3"/>
    <w:pPr>
      <w:numPr>
        <w:numId w:val="15"/>
      </w:numPr>
      <w:spacing w:before="200"/>
    </w:pPr>
  </w:style>
  <w:style w:type="paragraph" w:customStyle="1" w:styleId="FirstBullet2">
    <w:name w:val="First Bullet 2"/>
    <w:basedOn w:val="Listepuces2"/>
    <w:next w:val="Listepuces2"/>
    <w:qFormat/>
    <w:rsid w:val="00606C3A"/>
    <w:pPr>
      <w:numPr>
        <w:ilvl w:val="0"/>
        <w:numId w:val="16"/>
      </w:numPr>
      <w:spacing w:before="200"/>
    </w:pPr>
  </w:style>
  <w:style w:type="paragraph" w:customStyle="1" w:styleId="ExSumFirstBullet">
    <w:name w:val="Ex Sum First Bullet"/>
    <w:basedOn w:val="ExSumBullet1"/>
    <w:next w:val="ExSumBullet1"/>
    <w:rsid w:val="007975EF"/>
    <w:pPr>
      <w:spacing w:before="200"/>
    </w:pPr>
  </w:style>
  <w:style w:type="paragraph" w:customStyle="1" w:styleId="AppendixBullet1">
    <w:name w:val="Appendix Bullet 1"/>
    <w:basedOn w:val="ExSumBullet1"/>
    <w:qFormat/>
    <w:rsid w:val="00822AC1"/>
    <w:pPr>
      <w:numPr>
        <w:numId w:val="12"/>
      </w:numPr>
    </w:pPr>
  </w:style>
  <w:style w:type="paragraph" w:customStyle="1" w:styleId="AppendixFirstBullet">
    <w:name w:val="Appendix First Bullet"/>
    <w:basedOn w:val="ExSumFirstBullet"/>
    <w:next w:val="AppendixBullet1"/>
    <w:rsid w:val="00822AC1"/>
    <w:pPr>
      <w:numPr>
        <w:numId w:val="14"/>
      </w:numPr>
    </w:pPr>
  </w:style>
  <w:style w:type="paragraph" w:customStyle="1" w:styleId="AppendixNumber1">
    <w:name w:val="Appendix Number 1"/>
    <w:basedOn w:val="ExSumNumber1"/>
    <w:qFormat/>
    <w:rsid w:val="00822AC1"/>
    <w:pPr>
      <w:numPr>
        <w:numId w:val="13"/>
      </w:numPr>
    </w:pPr>
  </w:style>
  <w:style w:type="paragraph" w:customStyle="1" w:styleId="AppendixHeading1">
    <w:name w:val="Appendix Heading 1"/>
    <w:basedOn w:val="ExSumHeading1"/>
    <w:next w:val="Normal"/>
    <w:qFormat/>
    <w:rsid w:val="00A43C92"/>
    <w:rPr>
      <w:bCs w:val="0"/>
    </w:rPr>
  </w:style>
  <w:style w:type="paragraph" w:customStyle="1" w:styleId="AppendixHeading2">
    <w:name w:val="Appendix Heading 2"/>
    <w:basedOn w:val="AppendixHeading1"/>
    <w:next w:val="Normal"/>
    <w:qFormat/>
    <w:rsid w:val="00A43C92"/>
    <w:rPr>
      <w:caps w:val="0"/>
    </w:rPr>
  </w:style>
  <w:style w:type="paragraph" w:customStyle="1" w:styleId="AppendixHeading3">
    <w:name w:val="Appendix Heading 3"/>
    <w:basedOn w:val="AppendixHeading2"/>
    <w:next w:val="Normal"/>
    <w:qFormat/>
    <w:rsid w:val="00A43C92"/>
    <w:rPr>
      <w:sz w:val="20"/>
    </w:rPr>
  </w:style>
  <w:style w:type="paragraph" w:customStyle="1" w:styleId="AppendixHeading4">
    <w:name w:val="Appendix Heading 4"/>
    <w:basedOn w:val="AppendixHeading3"/>
    <w:next w:val="Normal"/>
    <w:qFormat/>
    <w:rsid w:val="00A43C92"/>
    <w:pPr>
      <w:spacing w:after="0"/>
    </w:pPr>
    <w:rPr>
      <w:i/>
    </w:rPr>
  </w:style>
  <w:style w:type="paragraph" w:customStyle="1" w:styleId="Box1Text">
    <w:name w:val="Box 1 Text"/>
    <w:basedOn w:val="Corpsdetexte"/>
    <w:next w:val="Corpsdetexte"/>
    <w:rsid w:val="00454D92"/>
    <w:pPr>
      <w:ind w:left="0"/>
    </w:pPr>
    <w:rPr>
      <w:color w:val="339966"/>
    </w:rPr>
  </w:style>
  <w:style w:type="paragraph" w:customStyle="1" w:styleId="Box1Bullet">
    <w:name w:val="Box 1 Bullet"/>
    <w:basedOn w:val="Box1Text"/>
    <w:rsid w:val="00454D92"/>
    <w:pPr>
      <w:numPr>
        <w:numId w:val="18"/>
      </w:numPr>
    </w:pPr>
  </w:style>
  <w:style w:type="paragraph" w:customStyle="1" w:styleId="Box1Number">
    <w:name w:val="Box 1 Number"/>
    <w:basedOn w:val="Box1Text"/>
    <w:rsid w:val="00454D92"/>
    <w:pPr>
      <w:numPr>
        <w:numId w:val="19"/>
      </w:numPr>
    </w:pPr>
  </w:style>
  <w:style w:type="paragraph" w:customStyle="1" w:styleId="Box2Text">
    <w:name w:val="Box 2 Text"/>
    <w:basedOn w:val="Corpsdetexte"/>
    <w:next w:val="Corpsdetexte"/>
    <w:rsid w:val="00454D92"/>
    <w:pPr>
      <w:ind w:left="0"/>
    </w:pPr>
    <w:rPr>
      <w:color w:val="99CC00"/>
    </w:rPr>
  </w:style>
  <w:style w:type="paragraph" w:customStyle="1" w:styleId="Box2Bullet">
    <w:name w:val="Box 2 Bullet"/>
    <w:basedOn w:val="Box2Text"/>
    <w:rsid w:val="00454D92"/>
    <w:pPr>
      <w:numPr>
        <w:numId w:val="20"/>
      </w:numPr>
    </w:pPr>
  </w:style>
  <w:style w:type="paragraph" w:customStyle="1" w:styleId="Box2Number">
    <w:name w:val="Box 2 Number"/>
    <w:basedOn w:val="Box2Text"/>
    <w:rsid w:val="00454D92"/>
    <w:pPr>
      <w:numPr>
        <w:numId w:val="21"/>
      </w:numPr>
    </w:pPr>
  </w:style>
  <w:style w:type="paragraph" w:customStyle="1" w:styleId="Box3Text">
    <w:name w:val="Box 3 Text"/>
    <w:basedOn w:val="Corpsdetexte"/>
    <w:next w:val="Corpsdetexte"/>
    <w:rsid w:val="00454D92"/>
    <w:pPr>
      <w:ind w:left="0"/>
    </w:pPr>
    <w:rPr>
      <w:color w:val="808080"/>
    </w:rPr>
  </w:style>
  <w:style w:type="paragraph" w:customStyle="1" w:styleId="Box3Bullet">
    <w:name w:val="Box 3 Bullet"/>
    <w:basedOn w:val="Box3Text"/>
    <w:rsid w:val="00454D92"/>
    <w:pPr>
      <w:numPr>
        <w:numId w:val="22"/>
      </w:numPr>
    </w:pPr>
  </w:style>
  <w:style w:type="paragraph" w:customStyle="1" w:styleId="Box3Number">
    <w:name w:val="Box 3 Number"/>
    <w:basedOn w:val="Box3Text"/>
    <w:rsid w:val="00454D92"/>
    <w:pPr>
      <w:numPr>
        <w:numId w:val="23"/>
      </w:numPr>
    </w:pPr>
  </w:style>
  <w:style w:type="paragraph" w:styleId="Paragraphedeliste">
    <w:name w:val="List Paragraph"/>
    <w:basedOn w:val="Normal"/>
    <w:uiPriority w:val="34"/>
    <w:qFormat/>
    <w:rsid w:val="009D4B26"/>
    <w:pPr>
      <w:spacing w:after="160" w:line="259" w:lineRule="auto"/>
      <w:ind w:left="720"/>
      <w:contextualSpacing/>
      <w:jc w:val="left"/>
    </w:pPr>
    <w:rPr>
      <w:rFonts w:asciiTheme="minorHAnsi" w:eastAsiaTheme="minorHAnsi" w:hAnsiTheme="minorHAnsi" w:cstheme="minorBidi"/>
      <w:sz w:val="22"/>
    </w:rPr>
  </w:style>
  <w:style w:type="paragraph" w:styleId="Notedefin">
    <w:name w:val="endnote text"/>
    <w:basedOn w:val="Normal"/>
    <w:link w:val="NotedefinCar"/>
    <w:semiHidden/>
    <w:rsid w:val="00DB64F0"/>
    <w:pPr>
      <w:jc w:val="left"/>
    </w:pPr>
    <w:rPr>
      <w:rFonts w:ascii="Times New Roman" w:eastAsia="MS Mincho" w:hAnsi="Times New Roman"/>
      <w:szCs w:val="20"/>
      <w:lang w:eastAsia="ja-JP"/>
    </w:rPr>
  </w:style>
  <w:style w:type="character" w:customStyle="1" w:styleId="NotedefinCar">
    <w:name w:val="Note de fin Car"/>
    <w:basedOn w:val="Policepardfaut"/>
    <w:link w:val="Notedefin"/>
    <w:semiHidden/>
    <w:rsid w:val="00DB64F0"/>
    <w:rPr>
      <w:rFonts w:ascii="Times New Roman" w:eastAsia="MS Mincho" w:hAnsi="Times New Roman"/>
      <w:lang w:eastAsia="ja-JP"/>
    </w:rPr>
  </w:style>
  <w:style w:type="character" w:styleId="Appeldenotedefin">
    <w:name w:val="endnote reference"/>
    <w:basedOn w:val="Policepardfaut"/>
    <w:semiHidden/>
    <w:rsid w:val="00DB64F0"/>
    <w:rPr>
      <w:vertAlign w:val="superscript"/>
    </w:rPr>
  </w:style>
  <w:style w:type="paragraph" w:styleId="Sansinterligne">
    <w:name w:val="No Spacing"/>
    <w:uiPriority w:val="1"/>
    <w:qFormat/>
    <w:rsid w:val="004516C6"/>
    <w:rPr>
      <w:rFonts w:asciiTheme="minorHAnsi" w:eastAsiaTheme="minorHAnsi" w:hAnsiTheme="minorHAnsi" w:cstheme="minorBidi"/>
      <w:sz w:val="22"/>
      <w:szCs w:val="22"/>
      <w:lang w:val="pl-PL" w:eastAsia="en-US"/>
    </w:rPr>
  </w:style>
  <w:style w:type="paragraph" w:customStyle="1" w:styleId="listparagraph1">
    <w:name w:val="listparagraph1"/>
    <w:basedOn w:val="Normal"/>
    <w:rsid w:val="00BC1087"/>
    <w:pPr>
      <w:spacing w:before="180" w:after="180"/>
      <w:jc w:val="left"/>
      <w:textAlignment w:val="baseline"/>
    </w:pPr>
    <w:rPr>
      <w:rFonts w:ascii="Times New Roman" w:eastAsia="Times New Roman" w:hAnsi="Times New Roman"/>
      <w:sz w:val="24"/>
      <w:szCs w:val="24"/>
      <w:lang w:eastAsia="en-GB"/>
    </w:rPr>
  </w:style>
  <w:style w:type="character" w:styleId="Lienhypertextesuivivisit">
    <w:name w:val="FollowedHyperlink"/>
    <w:basedOn w:val="Policepardfaut"/>
    <w:uiPriority w:val="99"/>
    <w:semiHidden/>
    <w:unhideWhenUsed/>
    <w:rsid w:val="0078379B"/>
    <w:rPr>
      <w:color w:val="954F72" w:themeColor="followedHyperlink"/>
      <w:u w:val="single"/>
    </w:rPr>
  </w:style>
  <w:style w:type="paragraph" w:styleId="Textedebulles">
    <w:name w:val="Balloon Text"/>
    <w:basedOn w:val="Normal"/>
    <w:link w:val="TextedebullesCar"/>
    <w:uiPriority w:val="99"/>
    <w:semiHidden/>
    <w:unhideWhenUsed/>
    <w:rsid w:val="00BD0697"/>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0697"/>
    <w:rPr>
      <w:rFonts w:ascii="Segoe UI" w:hAnsi="Segoe UI" w:cs="Segoe UI"/>
      <w:sz w:val="18"/>
      <w:szCs w:val="18"/>
      <w:lang w:eastAsia="en-US"/>
    </w:rPr>
  </w:style>
  <w:style w:type="character" w:styleId="Marquedecommentaire">
    <w:name w:val="annotation reference"/>
    <w:basedOn w:val="Policepardfaut"/>
    <w:uiPriority w:val="99"/>
    <w:semiHidden/>
    <w:unhideWhenUsed/>
    <w:rsid w:val="00F65874"/>
    <w:rPr>
      <w:sz w:val="16"/>
      <w:szCs w:val="16"/>
    </w:rPr>
  </w:style>
  <w:style w:type="paragraph" w:styleId="Commentaire">
    <w:name w:val="annotation text"/>
    <w:basedOn w:val="Normal"/>
    <w:link w:val="CommentaireCar"/>
    <w:uiPriority w:val="99"/>
    <w:semiHidden/>
    <w:unhideWhenUsed/>
    <w:rsid w:val="00F65874"/>
    <w:rPr>
      <w:szCs w:val="20"/>
    </w:rPr>
  </w:style>
  <w:style w:type="character" w:customStyle="1" w:styleId="CommentaireCar">
    <w:name w:val="Commentaire Car"/>
    <w:basedOn w:val="Policepardfaut"/>
    <w:link w:val="Commentaire"/>
    <w:uiPriority w:val="99"/>
    <w:semiHidden/>
    <w:rsid w:val="00F65874"/>
    <w:rPr>
      <w:rFonts w:ascii="Tahoma" w:hAnsi="Tahoma"/>
      <w:lang w:eastAsia="en-US"/>
    </w:rPr>
  </w:style>
  <w:style w:type="paragraph" w:styleId="Objetducommentaire">
    <w:name w:val="annotation subject"/>
    <w:basedOn w:val="Commentaire"/>
    <w:next w:val="Commentaire"/>
    <w:link w:val="ObjetducommentaireCar"/>
    <w:uiPriority w:val="99"/>
    <w:semiHidden/>
    <w:unhideWhenUsed/>
    <w:rsid w:val="00F65874"/>
    <w:rPr>
      <w:b/>
      <w:bCs/>
    </w:rPr>
  </w:style>
  <w:style w:type="character" w:customStyle="1" w:styleId="ObjetducommentaireCar">
    <w:name w:val="Objet du commentaire Car"/>
    <w:basedOn w:val="CommentaireCar"/>
    <w:link w:val="Objetducommentaire"/>
    <w:uiPriority w:val="99"/>
    <w:semiHidden/>
    <w:rsid w:val="00F65874"/>
    <w:rPr>
      <w:rFonts w:ascii="Tahoma" w:hAnsi="Tahoma"/>
      <w:b/>
      <w:bCs/>
      <w:lang w:eastAsia="en-US"/>
    </w:rPr>
  </w:style>
  <w:style w:type="paragraph" w:styleId="Rvision">
    <w:name w:val="Revision"/>
    <w:hidden/>
    <w:uiPriority w:val="99"/>
    <w:semiHidden/>
    <w:rsid w:val="001B6F8E"/>
    <w:rPr>
      <w:rFonts w:ascii="Tahoma" w:hAnsi="Tahoma"/>
      <w:szCs w:val="22"/>
      <w:lang w:eastAsia="en-US"/>
    </w:rPr>
  </w:style>
  <w:style w:type="paragraph" w:styleId="TM6">
    <w:name w:val="toc 6"/>
    <w:basedOn w:val="Normal"/>
    <w:next w:val="Normal"/>
    <w:autoRedefine/>
    <w:uiPriority w:val="39"/>
    <w:unhideWhenUsed/>
    <w:rsid w:val="008602EF"/>
    <w:pPr>
      <w:spacing w:after="100" w:line="259" w:lineRule="auto"/>
      <w:ind w:left="1100"/>
      <w:jc w:val="left"/>
    </w:pPr>
    <w:rPr>
      <w:rFonts w:asciiTheme="minorHAnsi" w:eastAsiaTheme="minorEastAsia" w:hAnsiTheme="minorHAnsi" w:cstheme="minorBidi"/>
      <w:sz w:val="22"/>
      <w:lang w:eastAsia="en-GB"/>
    </w:rPr>
  </w:style>
  <w:style w:type="paragraph" w:styleId="TM7">
    <w:name w:val="toc 7"/>
    <w:basedOn w:val="Normal"/>
    <w:next w:val="Normal"/>
    <w:autoRedefine/>
    <w:uiPriority w:val="39"/>
    <w:unhideWhenUsed/>
    <w:rsid w:val="008602EF"/>
    <w:pPr>
      <w:spacing w:after="100" w:line="259" w:lineRule="auto"/>
      <w:ind w:left="1320"/>
      <w:jc w:val="left"/>
    </w:pPr>
    <w:rPr>
      <w:rFonts w:asciiTheme="minorHAnsi" w:eastAsiaTheme="minorEastAsia" w:hAnsiTheme="minorHAnsi" w:cstheme="minorBidi"/>
      <w:sz w:val="22"/>
      <w:lang w:eastAsia="en-GB"/>
    </w:rPr>
  </w:style>
  <w:style w:type="paragraph" w:styleId="TM8">
    <w:name w:val="toc 8"/>
    <w:basedOn w:val="Normal"/>
    <w:next w:val="Normal"/>
    <w:autoRedefine/>
    <w:uiPriority w:val="39"/>
    <w:unhideWhenUsed/>
    <w:rsid w:val="008602EF"/>
    <w:pPr>
      <w:spacing w:after="100" w:line="259" w:lineRule="auto"/>
      <w:ind w:left="1540"/>
      <w:jc w:val="left"/>
    </w:pPr>
    <w:rPr>
      <w:rFonts w:asciiTheme="minorHAnsi" w:eastAsiaTheme="minorEastAsia" w:hAnsiTheme="minorHAnsi" w:cstheme="minorBidi"/>
      <w:sz w:val="22"/>
      <w:lang w:eastAsia="en-GB"/>
    </w:rPr>
  </w:style>
  <w:style w:type="paragraph" w:styleId="TM9">
    <w:name w:val="toc 9"/>
    <w:basedOn w:val="Normal"/>
    <w:next w:val="Normal"/>
    <w:autoRedefine/>
    <w:uiPriority w:val="39"/>
    <w:unhideWhenUsed/>
    <w:rsid w:val="008602EF"/>
    <w:pPr>
      <w:spacing w:after="100" w:line="259" w:lineRule="auto"/>
      <w:ind w:left="1760"/>
      <w:jc w:val="left"/>
    </w:pPr>
    <w:rPr>
      <w:rFonts w:asciiTheme="minorHAnsi" w:eastAsiaTheme="minorEastAsia" w:hAnsiTheme="minorHAnsi" w:cstheme="minorBidi"/>
      <w:sz w:val="22"/>
      <w:lang w:eastAsia="en-GB"/>
    </w:rPr>
  </w:style>
  <w:style w:type="character" w:styleId="lev">
    <w:name w:val="Strong"/>
    <w:basedOn w:val="Policepardfaut"/>
    <w:uiPriority w:val="22"/>
    <w:qFormat/>
    <w:rsid w:val="00693E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94730">
      <w:bodyDiv w:val="1"/>
      <w:marLeft w:val="0"/>
      <w:marRight w:val="0"/>
      <w:marTop w:val="0"/>
      <w:marBottom w:val="0"/>
      <w:divBdr>
        <w:top w:val="none" w:sz="0" w:space="0" w:color="auto"/>
        <w:left w:val="none" w:sz="0" w:space="0" w:color="auto"/>
        <w:bottom w:val="none" w:sz="0" w:space="0" w:color="auto"/>
        <w:right w:val="none" w:sz="0" w:space="0" w:color="auto"/>
      </w:divBdr>
    </w:div>
    <w:div w:id="149755109">
      <w:bodyDiv w:val="1"/>
      <w:marLeft w:val="0"/>
      <w:marRight w:val="0"/>
      <w:marTop w:val="0"/>
      <w:marBottom w:val="0"/>
      <w:divBdr>
        <w:top w:val="none" w:sz="0" w:space="0" w:color="auto"/>
        <w:left w:val="none" w:sz="0" w:space="0" w:color="auto"/>
        <w:bottom w:val="none" w:sz="0" w:space="0" w:color="auto"/>
        <w:right w:val="none" w:sz="0" w:space="0" w:color="auto"/>
      </w:divBdr>
    </w:div>
    <w:div w:id="236210052">
      <w:bodyDiv w:val="1"/>
      <w:marLeft w:val="0"/>
      <w:marRight w:val="0"/>
      <w:marTop w:val="0"/>
      <w:marBottom w:val="0"/>
      <w:divBdr>
        <w:top w:val="none" w:sz="0" w:space="0" w:color="auto"/>
        <w:left w:val="none" w:sz="0" w:space="0" w:color="auto"/>
        <w:bottom w:val="none" w:sz="0" w:space="0" w:color="auto"/>
        <w:right w:val="none" w:sz="0" w:space="0" w:color="auto"/>
      </w:divBdr>
      <w:divsChild>
        <w:div w:id="1598444060">
          <w:marLeft w:val="0"/>
          <w:marRight w:val="0"/>
          <w:marTop w:val="0"/>
          <w:marBottom w:val="0"/>
          <w:divBdr>
            <w:top w:val="none" w:sz="0" w:space="0" w:color="auto"/>
            <w:left w:val="none" w:sz="0" w:space="0" w:color="auto"/>
            <w:bottom w:val="none" w:sz="0" w:space="0" w:color="auto"/>
            <w:right w:val="none" w:sz="0" w:space="0" w:color="auto"/>
          </w:divBdr>
          <w:divsChild>
            <w:div w:id="2074346689">
              <w:marLeft w:val="0"/>
              <w:marRight w:val="0"/>
              <w:marTop w:val="0"/>
              <w:marBottom w:val="0"/>
              <w:divBdr>
                <w:top w:val="none" w:sz="0" w:space="0" w:color="auto"/>
                <w:left w:val="none" w:sz="0" w:space="0" w:color="auto"/>
                <w:bottom w:val="none" w:sz="0" w:space="0" w:color="auto"/>
                <w:right w:val="none" w:sz="0" w:space="0" w:color="auto"/>
              </w:divBdr>
              <w:divsChild>
                <w:div w:id="8021329">
                  <w:marLeft w:val="0"/>
                  <w:marRight w:val="0"/>
                  <w:marTop w:val="0"/>
                  <w:marBottom w:val="0"/>
                  <w:divBdr>
                    <w:top w:val="none" w:sz="0" w:space="0" w:color="auto"/>
                    <w:left w:val="none" w:sz="0" w:space="0" w:color="auto"/>
                    <w:bottom w:val="none" w:sz="0" w:space="0" w:color="auto"/>
                    <w:right w:val="none" w:sz="0" w:space="0" w:color="auto"/>
                  </w:divBdr>
                  <w:divsChild>
                    <w:div w:id="1013872568">
                      <w:marLeft w:val="150"/>
                      <w:marRight w:val="150"/>
                      <w:marTop w:val="0"/>
                      <w:marBottom w:val="0"/>
                      <w:divBdr>
                        <w:top w:val="none" w:sz="0" w:space="0" w:color="auto"/>
                        <w:left w:val="none" w:sz="0" w:space="0" w:color="auto"/>
                        <w:bottom w:val="none" w:sz="0" w:space="0" w:color="auto"/>
                        <w:right w:val="none" w:sz="0" w:space="0" w:color="auto"/>
                      </w:divBdr>
                      <w:divsChild>
                        <w:div w:id="678893287">
                          <w:marLeft w:val="0"/>
                          <w:marRight w:val="0"/>
                          <w:marTop w:val="0"/>
                          <w:marBottom w:val="0"/>
                          <w:divBdr>
                            <w:top w:val="none" w:sz="0" w:space="0" w:color="auto"/>
                            <w:left w:val="none" w:sz="0" w:space="0" w:color="auto"/>
                            <w:bottom w:val="none" w:sz="0" w:space="0" w:color="auto"/>
                            <w:right w:val="none" w:sz="0" w:space="0" w:color="auto"/>
                          </w:divBdr>
                          <w:divsChild>
                            <w:div w:id="1019117011">
                              <w:marLeft w:val="0"/>
                              <w:marRight w:val="0"/>
                              <w:marTop w:val="0"/>
                              <w:marBottom w:val="0"/>
                              <w:divBdr>
                                <w:top w:val="none" w:sz="0" w:space="0" w:color="auto"/>
                                <w:left w:val="none" w:sz="0" w:space="0" w:color="auto"/>
                                <w:bottom w:val="none" w:sz="0" w:space="0" w:color="auto"/>
                                <w:right w:val="none" w:sz="0" w:space="0" w:color="auto"/>
                              </w:divBdr>
                              <w:divsChild>
                                <w:div w:id="1120806649">
                                  <w:marLeft w:val="0"/>
                                  <w:marRight w:val="0"/>
                                  <w:marTop w:val="0"/>
                                  <w:marBottom w:val="0"/>
                                  <w:divBdr>
                                    <w:top w:val="none" w:sz="0" w:space="0" w:color="auto"/>
                                    <w:left w:val="none" w:sz="0" w:space="0" w:color="auto"/>
                                    <w:bottom w:val="none" w:sz="0" w:space="0" w:color="auto"/>
                                    <w:right w:val="none" w:sz="0" w:space="0" w:color="auto"/>
                                  </w:divBdr>
                                  <w:divsChild>
                                    <w:div w:id="387262158">
                                      <w:marLeft w:val="0"/>
                                      <w:marRight w:val="0"/>
                                      <w:marTop w:val="0"/>
                                      <w:marBottom w:val="0"/>
                                      <w:divBdr>
                                        <w:top w:val="none" w:sz="0" w:space="0" w:color="auto"/>
                                        <w:left w:val="none" w:sz="0" w:space="0" w:color="auto"/>
                                        <w:bottom w:val="none" w:sz="0" w:space="0" w:color="auto"/>
                                        <w:right w:val="none" w:sz="0" w:space="0" w:color="auto"/>
                                      </w:divBdr>
                                      <w:divsChild>
                                        <w:div w:id="1865048708">
                                          <w:marLeft w:val="0"/>
                                          <w:marRight w:val="0"/>
                                          <w:marTop w:val="0"/>
                                          <w:marBottom w:val="0"/>
                                          <w:divBdr>
                                            <w:top w:val="none" w:sz="0" w:space="0" w:color="auto"/>
                                            <w:left w:val="none" w:sz="0" w:space="0" w:color="auto"/>
                                            <w:bottom w:val="none" w:sz="0" w:space="0" w:color="auto"/>
                                            <w:right w:val="none" w:sz="0" w:space="0" w:color="auto"/>
                                          </w:divBdr>
                                          <w:divsChild>
                                            <w:div w:id="1951014667">
                                              <w:marLeft w:val="0"/>
                                              <w:marRight w:val="0"/>
                                              <w:marTop w:val="0"/>
                                              <w:marBottom w:val="0"/>
                                              <w:divBdr>
                                                <w:top w:val="none" w:sz="0" w:space="0" w:color="auto"/>
                                                <w:left w:val="none" w:sz="0" w:space="0" w:color="auto"/>
                                                <w:bottom w:val="none" w:sz="0" w:space="0" w:color="auto"/>
                                                <w:right w:val="none" w:sz="0" w:space="0" w:color="auto"/>
                                              </w:divBdr>
                                              <w:divsChild>
                                                <w:div w:id="1921022958">
                                                  <w:marLeft w:val="0"/>
                                                  <w:marRight w:val="0"/>
                                                  <w:marTop w:val="0"/>
                                                  <w:marBottom w:val="0"/>
                                                  <w:divBdr>
                                                    <w:top w:val="none" w:sz="0" w:space="0" w:color="auto"/>
                                                    <w:left w:val="none" w:sz="0" w:space="0" w:color="auto"/>
                                                    <w:bottom w:val="none" w:sz="0" w:space="0" w:color="auto"/>
                                                    <w:right w:val="none" w:sz="0" w:space="0" w:color="auto"/>
                                                  </w:divBdr>
                                                  <w:divsChild>
                                                    <w:div w:id="568081131">
                                                      <w:marLeft w:val="0"/>
                                                      <w:marRight w:val="0"/>
                                                      <w:marTop w:val="0"/>
                                                      <w:marBottom w:val="0"/>
                                                      <w:divBdr>
                                                        <w:top w:val="none" w:sz="0" w:space="0" w:color="auto"/>
                                                        <w:left w:val="none" w:sz="0" w:space="0" w:color="auto"/>
                                                        <w:bottom w:val="none" w:sz="0" w:space="0" w:color="auto"/>
                                                        <w:right w:val="none" w:sz="0" w:space="0" w:color="auto"/>
                                                      </w:divBdr>
                                                      <w:divsChild>
                                                        <w:div w:id="9770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7469355">
      <w:bodyDiv w:val="1"/>
      <w:marLeft w:val="0"/>
      <w:marRight w:val="0"/>
      <w:marTop w:val="0"/>
      <w:marBottom w:val="0"/>
      <w:divBdr>
        <w:top w:val="none" w:sz="0" w:space="0" w:color="auto"/>
        <w:left w:val="none" w:sz="0" w:space="0" w:color="auto"/>
        <w:bottom w:val="none" w:sz="0" w:space="0" w:color="auto"/>
        <w:right w:val="none" w:sz="0" w:space="0" w:color="auto"/>
      </w:divBdr>
    </w:div>
    <w:div w:id="513686470">
      <w:bodyDiv w:val="1"/>
      <w:marLeft w:val="0"/>
      <w:marRight w:val="0"/>
      <w:marTop w:val="0"/>
      <w:marBottom w:val="0"/>
      <w:divBdr>
        <w:top w:val="none" w:sz="0" w:space="0" w:color="auto"/>
        <w:left w:val="none" w:sz="0" w:space="0" w:color="auto"/>
        <w:bottom w:val="none" w:sz="0" w:space="0" w:color="auto"/>
        <w:right w:val="none" w:sz="0" w:space="0" w:color="auto"/>
      </w:divBdr>
    </w:div>
    <w:div w:id="528177140">
      <w:bodyDiv w:val="1"/>
      <w:marLeft w:val="0"/>
      <w:marRight w:val="0"/>
      <w:marTop w:val="0"/>
      <w:marBottom w:val="0"/>
      <w:divBdr>
        <w:top w:val="none" w:sz="0" w:space="0" w:color="auto"/>
        <w:left w:val="none" w:sz="0" w:space="0" w:color="auto"/>
        <w:bottom w:val="none" w:sz="0" w:space="0" w:color="auto"/>
        <w:right w:val="none" w:sz="0" w:space="0" w:color="auto"/>
      </w:divBdr>
    </w:div>
    <w:div w:id="839928814">
      <w:bodyDiv w:val="1"/>
      <w:marLeft w:val="0"/>
      <w:marRight w:val="0"/>
      <w:marTop w:val="0"/>
      <w:marBottom w:val="0"/>
      <w:divBdr>
        <w:top w:val="none" w:sz="0" w:space="0" w:color="auto"/>
        <w:left w:val="none" w:sz="0" w:space="0" w:color="auto"/>
        <w:bottom w:val="none" w:sz="0" w:space="0" w:color="auto"/>
        <w:right w:val="none" w:sz="0" w:space="0" w:color="auto"/>
      </w:divBdr>
    </w:div>
    <w:div w:id="872884448">
      <w:bodyDiv w:val="1"/>
      <w:marLeft w:val="0"/>
      <w:marRight w:val="0"/>
      <w:marTop w:val="0"/>
      <w:marBottom w:val="0"/>
      <w:divBdr>
        <w:top w:val="none" w:sz="0" w:space="0" w:color="auto"/>
        <w:left w:val="none" w:sz="0" w:space="0" w:color="auto"/>
        <w:bottom w:val="none" w:sz="0" w:space="0" w:color="auto"/>
        <w:right w:val="none" w:sz="0" w:space="0" w:color="auto"/>
      </w:divBdr>
      <w:divsChild>
        <w:div w:id="989097137">
          <w:marLeft w:val="1166"/>
          <w:marRight w:val="0"/>
          <w:marTop w:val="0"/>
          <w:marBottom w:val="0"/>
          <w:divBdr>
            <w:top w:val="none" w:sz="0" w:space="0" w:color="auto"/>
            <w:left w:val="none" w:sz="0" w:space="0" w:color="auto"/>
            <w:bottom w:val="none" w:sz="0" w:space="0" w:color="auto"/>
            <w:right w:val="none" w:sz="0" w:space="0" w:color="auto"/>
          </w:divBdr>
        </w:div>
        <w:div w:id="1309171013">
          <w:marLeft w:val="1166"/>
          <w:marRight w:val="0"/>
          <w:marTop w:val="0"/>
          <w:marBottom w:val="0"/>
          <w:divBdr>
            <w:top w:val="none" w:sz="0" w:space="0" w:color="auto"/>
            <w:left w:val="none" w:sz="0" w:space="0" w:color="auto"/>
            <w:bottom w:val="none" w:sz="0" w:space="0" w:color="auto"/>
            <w:right w:val="none" w:sz="0" w:space="0" w:color="auto"/>
          </w:divBdr>
        </w:div>
        <w:div w:id="446851484">
          <w:marLeft w:val="1166"/>
          <w:marRight w:val="0"/>
          <w:marTop w:val="0"/>
          <w:marBottom w:val="0"/>
          <w:divBdr>
            <w:top w:val="none" w:sz="0" w:space="0" w:color="auto"/>
            <w:left w:val="none" w:sz="0" w:space="0" w:color="auto"/>
            <w:bottom w:val="none" w:sz="0" w:space="0" w:color="auto"/>
            <w:right w:val="none" w:sz="0" w:space="0" w:color="auto"/>
          </w:divBdr>
        </w:div>
      </w:divsChild>
    </w:div>
    <w:div w:id="897282783">
      <w:bodyDiv w:val="1"/>
      <w:marLeft w:val="0"/>
      <w:marRight w:val="0"/>
      <w:marTop w:val="0"/>
      <w:marBottom w:val="0"/>
      <w:divBdr>
        <w:top w:val="none" w:sz="0" w:space="0" w:color="auto"/>
        <w:left w:val="none" w:sz="0" w:space="0" w:color="auto"/>
        <w:bottom w:val="none" w:sz="0" w:space="0" w:color="auto"/>
        <w:right w:val="none" w:sz="0" w:space="0" w:color="auto"/>
      </w:divBdr>
    </w:div>
    <w:div w:id="972753143">
      <w:bodyDiv w:val="1"/>
      <w:marLeft w:val="0"/>
      <w:marRight w:val="0"/>
      <w:marTop w:val="0"/>
      <w:marBottom w:val="0"/>
      <w:divBdr>
        <w:top w:val="none" w:sz="0" w:space="0" w:color="auto"/>
        <w:left w:val="none" w:sz="0" w:space="0" w:color="auto"/>
        <w:bottom w:val="none" w:sz="0" w:space="0" w:color="auto"/>
        <w:right w:val="none" w:sz="0" w:space="0" w:color="auto"/>
      </w:divBdr>
      <w:divsChild>
        <w:div w:id="326447891">
          <w:marLeft w:val="1166"/>
          <w:marRight w:val="0"/>
          <w:marTop w:val="0"/>
          <w:marBottom w:val="0"/>
          <w:divBdr>
            <w:top w:val="none" w:sz="0" w:space="0" w:color="auto"/>
            <w:left w:val="none" w:sz="0" w:space="0" w:color="auto"/>
            <w:bottom w:val="none" w:sz="0" w:space="0" w:color="auto"/>
            <w:right w:val="none" w:sz="0" w:space="0" w:color="auto"/>
          </w:divBdr>
        </w:div>
        <w:div w:id="1953392191">
          <w:marLeft w:val="1166"/>
          <w:marRight w:val="0"/>
          <w:marTop w:val="0"/>
          <w:marBottom w:val="0"/>
          <w:divBdr>
            <w:top w:val="none" w:sz="0" w:space="0" w:color="auto"/>
            <w:left w:val="none" w:sz="0" w:space="0" w:color="auto"/>
            <w:bottom w:val="none" w:sz="0" w:space="0" w:color="auto"/>
            <w:right w:val="none" w:sz="0" w:space="0" w:color="auto"/>
          </w:divBdr>
        </w:div>
        <w:div w:id="635329554">
          <w:marLeft w:val="1166"/>
          <w:marRight w:val="0"/>
          <w:marTop w:val="0"/>
          <w:marBottom w:val="0"/>
          <w:divBdr>
            <w:top w:val="none" w:sz="0" w:space="0" w:color="auto"/>
            <w:left w:val="none" w:sz="0" w:space="0" w:color="auto"/>
            <w:bottom w:val="none" w:sz="0" w:space="0" w:color="auto"/>
            <w:right w:val="none" w:sz="0" w:space="0" w:color="auto"/>
          </w:divBdr>
        </w:div>
      </w:divsChild>
    </w:div>
    <w:div w:id="1072584438">
      <w:bodyDiv w:val="1"/>
      <w:marLeft w:val="0"/>
      <w:marRight w:val="0"/>
      <w:marTop w:val="0"/>
      <w:marBottom w:val="0"/>
      <w:divBdr>
        <w:top w:val="none" w:sz="0" w:space="0" w:color="auto"/>
        <w:left w:val="none" w:sz="0" w:space="0" w:color="auto"/>
        <w:bottom w:val="none" w:sz="0" w:space="0" w:color="auto"/>
        <w:right w:val="none" w:sz="0" w:space="0" w:color="auto"/>
      </w:divBdr>
      <w:divsChild>
        <w:div w:id="1040059588">
          <w:marLeft w:val="446"/>
          <w:marRight w:val="0"/>
          <w:marTop w:val="0"/>
          <w:marBottom w:val="0"/>
          <w:divBdr>
            <w:top w:val="none" w:sz="0" w:space="0" w:color="auto"/>
            <w:left w:val="none" w:sz="0" w:space="0" w:color="auto"/>
            <w:bottom w:val="none" w:sz="0" w:space="0" w:color="auto"/>
            <w:right w:val="none" w:sz="0" w:space="0" w:color="auto"/>
          </w:divBdr>
        </w:div>
      </w:divsChild>
    </w:div>
    <w:div w:id="1192913600">
      <w:bodyDiv w:val="1"/>
      <w:marLeft w:val="0"/>
      <w:marRight w:val="0"/>
      <w:marTop w:val="0"/>
      <w:marBottom w:val="0"/>
      <w:divBdr>
        <w:top w:val="none" w:sz="0" w:space="0" w:color="auto"/>
        <w:left w:val="none" w:sz="0" w:space="0" w:color="auto"/>
        <w:bottom w:val="none" w:sz="0" w:space="0" w:color="auto"/>
        <w:right w:val="none" w:sz="0" w:space="0" w:color="auto"/>
      </w:divBdr>
    </w:div>
    <w:div w:id="1566910130">
      <w:bodyDiv w:val="1"/>
      <w:marLeft w:val="0"/>
      <w:marRight w:val="0"/>
      <w:marTop w:val="0"/>
      <w:marBottom w:val="0"/>
      <w:divBdr>
        <w:top w:val="none" w:sz="0" w:space="0" w:color="auto"/>
        <w:left w:val="none" w:sz="0" w:space="0" w:color="auto"/>
        <w:bottom w:val="none" w:sz="0" w:space="0" w:color="auto"/>
        <w:right w:val="none" w:sz="0" w:space="0" w:color="auto"/>
      </w:divBdr>
    </w:div>
    <w:div w:id="1657565498">
      <w:bodyDiv w:val="1"/>
      <w:marLeft w:val="0"/>
      <w:marRight w:val="0"/>
      <w:marTop w:val="0"/>
      <w:marBottom w:val="0"/>
      <w:divBdr>
        <w:top w:val="none" w:sz="0" w:space="0" w:color="auto"/>
        <w:left w:val="none" w:sz="0" w:space="0" w:color="auto"/>
        <w:bottom w:val="none" w:sz="0" w:space="0" w:color="auto"/>
        <w:right w:val="none" w:sz="0" w:space="0" w:color="auto"/>
      </w:divBdr>
      <w:divsChild>
        <w:div w:id="1533106631">
          <w:marLeft w:val="1166"/>
          <w:marRight w:val="0"/>
          <w:marTop w:val="0"/>
          <w:marBottom w:val="0"/>
          <w:divBdr>
            <w:top w:val="none" w:sz="0" w:space="0" w:color="auto"/>
            <w:left w:val="none" w:sz="0" w:space="0" w:color="auto"/>
            <w:bottom w:val="none" w:sz="0" w:space="0" w:color="auto"/>
            <w:right w:val="none" w:sz="0" w:space="0" w:color="auto"/>
          </w:divBdr>
        </w:div>
        <w:div w:id="2035305477">
          <w:marLeft w:val="1166"/>
          <w:marRight w:val="0"/>
          <w:marTop w:val="0"/>
          <w:marBottom w:val="0"/>
          <w:divBdr>
            <w:top w:val="none" w:sz="0" w:space="0" w:color="auto"/>
            <w:left w:val="none" w:sz="0" w:space="0" w:color="auto"/>
            <w:bottom w:val="none" w:sz="0" w:space="0" w:color="auto"/>
            <w:right w:val="none" w:sz="0" w:space="0" w:color="auto"/>
          </w:divBdr>
        </w:div>
        <w:div w:id="372118100">
          <w:marLeft w:val="1166"/>
          <w:marRight w:val="0"/>
          <w:marTop w:val="0"/>
          <w:marBottom w:val="0"/>
          <w:divBdr>
            <w:top w:val="none" w:sz="0" w:space="0" w:color="auto"/>
            <w:left w:val="none" w:sz="0" w:space="0" w:color="auto"/>
            <w:bottom w:val="none" w:sz="0" w:space="0" w:color="auto"/>
            <w:right w:val="none" w:sz="0" w:space="0" w:color="auto"/>
          </w:divBdr>
        </w:div>
        <w:div w:id="1611887523">
          <w:marLeft w:val="1166"/>
          <w:marRight w:val="0"/>
          <w:marTop w:val="0"/>
          <w:marBottom w:val="0"/>
          <w:divBdr>
            <w:top w:val="none" w:sz="0" w:space="0" w:color="auto"/>
            <w:left w:val="none" w:sz="0" w:space="0" w:color="auto"/>
            <w:bottom w:val="none" w:sz="0" w:space="0" w:color="auto"/>
            <w:right w:val="none" w:sz="0" w:space="0" w:color="auto"/>
          </w:divBdr>
        </w:div>
        <w:div w:id="1064527166">
          <w:marLeft w:val="1166"/>
          <w:marRight w:val="0"/>
          <w:marTop w:val="0"/>
          <w:marBottom w:val="0"/>
          <w:divBdr>
            <w:top w:val="none" w:sz="0" w:space="0" w:color="auto"/>
            <w:left w:val="none" w:sz="0" w:space="0" w:color="auto"/>
            <w:bottom w:val="none" w:sz="0" w:space="0" w:color="auto"/>
            <w:right w:val="none" w:sz="0" w:space="0" w:color="auto"/>
          </w:divBdr>
        </w:div>
        <w:div w:id="2058818617">
          <w:marLeft w:val="1166"/>
          <w:marRight w:val="0"/>
          <w:marTop w:val="0"/>
          <w:marBottom w:val="0"/>
          <w:divBdr>
            <w:top w:val="none" w:sz="0" w:space="0" w:color="auto"/>
            <w:left w:val="none" w:sz="0" w:space="0" w:color="auto"/>
            <w:bottom w:val="none" w:sz="0" w:space="0" w:color="auto"/>
            <w:right w:val="none" w:sz="0" w:space="0" w:color="auto"/>
          </w:divBdr>
        </w:div>
      </w:divsChild>
    </w:div>
    <w:div w:id="1699432062">
      <w:bodyDiv w:val="1"/>
      <w:marLeft w:val="0"/>
      <w:marRight w:val="0"/>
      <w:marTop w:val="0"/>
      <w:marBottom w:val="0"/>
      <w:divBdr>
        <w:top w:val="none" w:sz="0" w:space="0" w:color="auto"/>
        <w:left w:val="none" w:sz="0" w:space="0" w:color="auto"/>
        <w:bottom w:val="none" w:sz="0" w:space="0" w:color="auto"/>
        <w:right w:val="none" w:sz="0" w:space="0" w:color="auto"/>
      </w:divBdr>
      <w:divsChild>
        <w:div w:id="716860616">
          <w:marLeft w:val="0"/>
          <w:marRight w:val="0"/>
          <w:marTop w:val="0"/>
          <w:marBottom w:val="0"/>
          <w:divBdr>
            <w:top w:val="none" w:sz="0" w:space="0" w:color="auto"/>
            <w:left w:val="none" w:sz="0" w:space="0" w:color="auto"/>
            <w:bottom w:val="none" w:sz="0" w:space="0" w:color="auto"/>
            <w:right w:val="none" w:sz="0" w:space="0" w:color="auto"/>
          </w:divBdr>
          <w:divsChild>
            <w:div w:id="1262373204">
              <w:marLeft w:val="0"/>
              <w:marRight w:val="0"/>
              <w:marTop w:val="0"/>
              <w:marBottom w:val="0"/>
              <w:divBdr>
                <w:top w:val="none" w:sz="0" w:space="0" w:color="auto"/>
                <w:left w:val="none" w:sz="0" w:space="0" w:color="auto"/>
                <w:bottom w:val="none" w:sz="0" w:space="0" w:color="auto"/>
                <w:right w:val="none" w:sz="0" w:space="0" w:color="auto"/>
              </w:divBdr>
              <w:divsChild>
                <w:div w:id="473063009">
                  <w:marLeft w:val="0"/>
                  <w:marRight w:val="0"/>
                  <w:marTop w:val="0"/>
                  <w:marBottom w:val="0"/>
                  <w:divBdr>
                    <w:top w:val="none" w:sz="0" w:space="0" w:color="auto"/>
                    <w:left w:val="none" w:sz="0" w:space="0" w:color="auto"/>
                    <w:bottom w:val="none" w:sz="0" w:space="0" w:color="auto"/>
                    <w:right w:val="none" w:sz="0" w:space="0" w:color="auto"/>
                  </w:divBdr>
                  <w:divsChild>
                    <w:div w:id="1690913975">
                      <w:marLeft w:val="0"/>
                      <w:marRight w:val="0"/>
                      <w:marTop w:val="0"/>
                      <w:marBottom w:val="0"/>
                      <w:divBdr>
                        <w:top w:val="none" w:sz="0" w:space="0" w:color="auto"/>
                        <w:left w:val="none" w:sz="0" w:space="0" w:color="auto"/>
                        <w:bottom w:val="none" w:sz="0" w:space="0" w:color="auto"/>
                        <w:right w:val="none" w:sz="0" w:space="0" w:color="auto"/>
                      </w:divBdr>
                      <w:divsChild>
                        <w:div w:id="1430540186">
                          <w:marLeft w:val="0"/>
                          <w:marRight w:val="0"/>
                          <w:marTop w:val="0"/>
                          <w:marBottom w:val="0"/>
                          <w:divBdr>
                            <w:top w:val="none" w:sz="0" w:space="0" w:color="auto"/>
                            <w:left w:val="none" w:sz="0" w:space="0" w:color="auto"/>
                            <w:bottom w:val="none" w:sz="0" w:space="0" w:color="auto"/>
                            <w:right w:val="none" w:sz="0" w:space="0" w:color="auto"/>
                          </w:divBdr>
                          <w:divsChild>
                            <w:div w:id="1413433685">
                              <w:marLeft w:val="0"/>
                              <w:marRight w:val="0"/>
                              <w:marTop w:val="0"/>
                              <w:marBottom w:val="0"/>
                              <w:divBdr>
                                <w:top w:val="none" w:sz="0" w:space="0" w:color="auto"/>
                                <w:left w:val="none" w:sz="0" w:space="0" w:color="auto"/>
                                <w:bottom w:val="none" w:sz="0" w:space="0" w:color="auto"/>
                                <w:right w:val="none" w:sz="0" w:space="0" w:color="auto"/>
                              </w:divBdr>
                              <w:divsChild>
                                <w:div w:id="115300364">
                                  <w:marLeft w:val="0"/>
                                  <w:marRight w:val="0"/>
                                  <w:marTop w:val="0"/>
                                  <w:marBottom w:val="0"/>
                                  <w:divBdr>
                                    <w:top w:val="none" w:sz="0" w:space="0" w:color="auto"/>
                                    <w:left w:val="none" w:sz="0" w:space="0" w:color="auto"/>
                                    <w:bottom w:val="none" w:sz="0" w:space="0" w:color="auto"/>
                                    <w:right w:val="none" w:sz="0" w:space="0" w:color="auto"/>
                                  </w:divBdr>
                                  <w:divsChild>
                                    <w:div w:id="412778065">
                                      <w:marLeft w:val="0"/>
                                      <w:marRight w:val="0"/>
                                      <w:marTop w:val="0"/>
                                      <w:marBottom w:val="0"/>
                                      <w:divBdr>
                                        <w:top w:val="none" w:sz="0" w:space="0" w:color="auto"/>
                                        <w:left w:val="none" w:sz="0" w:space="0" w:color="auto"/>
                                        <w:bottom w:val="none" w:sz="0" w:space="0" w:color="auto"/>
                                        <w:right w:val="none" w:sz="0" w:space="0" w:color="auto"/>
                                      </w:divBdr>
                                      <w:divsChild>
                                        <w:div w:id="1802452486">
                                          <w:marLeft w:val="0"/>
                                          <w:marRight w:val="0"/>
                                          <w:marTop w:val="0"/>
                                          <w:marBottom w:val="0"/>
                                          <w:divBdr>
                                            <w:top w:val="none" w:sz="0" w:space="0" w:color="auto"/>
                                            <w:left w:val="none" w:sz="0" w:space="0" w:color="auto"/>
                                            <w:bottom w:val="none" w:sz="0" w:space="0" w:color="auto"/>
                                            <w:right w:val="none" w:sz="0" w:space="0" w:color="auto"/>
                                          </w:divBdr>
                                          <w:divsChild>
                                            <w:div w:id="1199662790">
                                              <w:marLeft w:val="0"/>
                                              <w:marRight w:val="0"/>
                                              <w:marTop w:val="0"/>
                                              <w:marBottom w:val="0"/>
                                              <w:divBdr>
                                                <w:top w:val="none" w:sz="0" w:space="0" w:color="auto"/>
                                                <w:left w:val="none" w:sz="0" w:space="0" w:color="auto"/>
                                                <w:bottom w:val="none" w:sz="0" w:space="0" w:color="auto"/>
                                                <w:right w:val="none" w:sz="0" w:space="0" w:color="auto"/>
                                              </w:divBdr>
                                              <w:divsChild>
                                                <w:div w:id="80716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024056">
      <w:bodyDiv w:val="1"/>
      <w:marLeft w:val="0"/>
      <w:marRight w:val="0"/>
      <w:marTop w:val="0"/>
      <w:marBottom w:val="0"/>
      <w:divBdr>
        <w:top w:val="none" w:sz="0" w:space="0" w:color="auto"/>
        <w:left w:val="none" w:sz="0" w:space="0" w:color="auto"/>
        <w:bottom w:val="none" w:sz="0" w:space="0" w:color="auto"/>
        <w:right w:val="none" w:sz="0" w:space="0" w:color="auto"/>
      </w:divBdr>
    </w:div>
    <w:div w:id="1994333442">
      <w:bodyDiv w:val="1"/>
      <w:marLeft w:val="0"/>
      <w:marRight w:val="0"/>
      <w:marTop w:val="0"/>
      <w:marBottom w:val="0"/>
      <w:divBdr>
        <w:top w:val="none" w:sz="0" w:space="0" w:color="auto"/>
        <w:left w:val="none" w:sz="0" w:space="0" w:color="auto"/>
        <w:bottom w:val="none" w:sz="0" w:space="0" w:color="auto"/>
        <w:right w:val="none" w:sz="0" w:space="0" w:color="auto"/>
      </w:divBdr>
      <w:divsChild>
        <w:div w:id="1018846767">
          <w:marLeft w:val="1166"/>
          <w:marRight w:val="0"/>
          <w:marTop w:val="0"/>
          <w:marBottom w:val="0"/>
          <w:divBdr>
            <w:top w:val="none" w:sz="0" w:space="0" w:color="auto"/>
            <w:left w:val="none" w:sz="0" w:space="0" w:color="auto"/>
            <w:bottom w:val="none" w:sz="0" w:space="0" w:color="auto"/>
            <w:right w:val="none" w:sz="0" w:space="0" w:color="auto"/>
          </w:divBdr>
        </w:div>
        <w:div w:id="1674718148">
          <w:marLeft w:val="1166"/>
          <w:marRight w:val="0"/>
          <w:marTop w:val="0"/>
          <w:marBottom w:val="0"/>
          <w:divBdr>
            <w:top w:val="none" w:sz="0" w:space="0" w:color="auto"/>
            <w:left w:val="none" w:sz="0" w:space="0" w:color="auto"/>
            <w:bottom w:val="none" w:sz="0" w:space="0" w:color="auto"/>
            <w:right w:val="none" w:sz="0" w:space="0" w:color="auto"/>
          </w:divBdr>
        </w:div>
        <w:div w:id="1624383823">
          <w:marLeft w:val="1166"/>
          <w:marRight w:val="0"/>
          <w:marTop w:val="0"/>
          <w:marBottom w:val="0"/>
          <w:divBdr>
            <w:top w:val="none" w:sz="0" w:space="0" w:color="auto"/>
            <w:left w:val="none" w:sz="0" w:space="0" w:color="auto"/>
            <w:bottom w:val="none" w:sz="0" w:space="0" w:color="auto"/>
            <w:right w:val="none" w:sz="0" w:space="0" w:color="auto"/>
          </w:divBdr>
        </w:div>
      </w:divsChild>
    </w:div>
    <w:div w:id="202220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en.wikipedia.org/wiki/Albacet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Albacet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wjackson\Desktop\Updated%202014%20templates\CLES%20Report%20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9110C-9000-4728-95A2-DED8E67E2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CLES Report 2014.dot</Template>
  <TotalTime>0</TotalTime>
  <Pages>6</Pages>
  <Words>2311</Words>
  <Characters>12711</Characters>
  <Application>Microsoft Office Word</Application>
  <DocSecurity>0</DocSecurity>
  <Lines>105</Lines>
  <Paragraphs>29</Paragraphs>
  <ScaleCrop>false</ScaleCrop>
  <HeadingPairs>
    <vt:vector size="6" baseType="variant">
      <vt:variant>
        <vt:lpstr>Titre</vt:lpstr>
      </vt:variant>
      <vt:variant>
        <vt:i4>1</vt:i4>
      </vt:variant>
      <vt:variant>
        <vt:lpstr>Title</vt:lpstr>
      </vt:variant>
      <vt:variant>
        <vt:i4>1</vt:i4>
      </vt:variant>
      <vt:variant>
        <vt:lpstr>Cím</vt:lpstr>
      </vt:variant>
      <vt:variant>
        <vt:i4>1</vt:i4>
      </vt:variant>
    </vt:vector>
  </HeadingPairs>
  <TitlesOfParts>
    <vt:vector size="3" baseType="lpstr">
      <vt:lpstr>Date</vt:lpstr>
      <vt:lpstr>Date</vt:lpstr>
      <vt:lpstr>Date</vt:lpstr>
    </vt:vector>
  </TitlesOfParts>
  <Company>CLES</Company>
  <LinksUpToDate>false</LinksUpToDate>
  <CharactersWithSpaces>14993</CharactersWithSpaces>
  <SharedDoc>false</SharedDoc>
  <HLinks>
    <vt:vector size="6" baseType="variant">
      <vt:variant>
        <vt:i4>1376307</vt:i4>
      </vt:variant>
      <vt:variant>
        <vt:i4>2</vt:i4>
      </vt:variant>
      <vt:variant>
        <vt:i4>0</vt:i4>
      </vt:variant>
      <vt:variant>
        <vt:i4>5</vt:i4>
      </vt:variant>
      <vt:variant>
        <vt:lpwstr/>
      </vt:variant>
      <vt:variant>
        <vt:lpwstr>_Toc243978579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matthewjackson</dc:creator>
  <cp:lastModifiedBy>CORDERO Perrine</cp:lastModifiedBy>
  <cp:revision>2</cp:revision>
  <cp:lastPrinted>2016-08-12T10:49:00Z</cp:lastPrinted>
  <dcterms:created xsi:type="dcterms:W3CDTF">2017-10-30T09:08:00Z</dcterms:created>
  <dcterms:modified xsi:type="dcterms:W3CDTF">2017-10-30T09:08:00Z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13401369</vt:i4>
  </property>
  <property fmtid="{D5CDD505-2E9C-101B-9397-08002B2CF9AE}" pid="4" name="_EmailSubject">
    <vt:lpwstr>Procure Case Studies</vt:lpwstr>
  </property>
  <property fmtid="{D5CDD505-2E9C-101B-9397-08002B2CF9AE}" pid="5" name="_AuthorEmail">
    <vt:lpwstr>T.Reay@preston.gov.uk</vt:lpwstr>
  </property>
  <property fmtid="{D5CDD505-2E9C-101B-9397-08002B2CF9AE}" pid="6" name="_AuthorEmailDisplayName">
    <vt:lpwstr>Tamar Reay</vt:lpwstr>
  </property>
  <property fmtid="{D5CDD505-2E9C-101B-9397-08002B2CF9AE}" pid="7" name="_ReviewingToolsShownOnce">
    <vt:lpwstr/>
  </property>
</Properties>
</file>