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52A4E" w14:textId="77777777" w:rsidR="00C048C0" w:rsidRDefault="00C048C0" w:rsidP="00C048C0">
      <w:pPr>
        <w:jc w:val="center"/>
        <w:rPr>
          <w:rFonts w:ascii="Calibri" w:hAnsi="Calibri" w:cs="Calibri"/>
          <w:b/>
          <w:color w:val="1F497D"/>
          <w:sz w:val="28"/>
          <w:szCs w:val="28"/>
          <w:lang w:val="en-US" w:eastAsia="en-GB"/>
        </w:rPr>
      </w:pPr>
      <w:bookmarkStart w:id="0" w:name="_GoBack"/>
      <w:bookmarkEnd w:id="0"/>
    </w:p>
    <w:p w14:paraId="0074CCC7" w14:textId="77777777" w:rsidR="00C048C0" w:rsidRPr="00225335" w:rsidRDefault="00C048C0" w:rsidP="00C048C0">
      <w:pPr>
        <w:jc w:val="center"/>
        <w:rPr>
          <w:rFonts w:ascii="Trebuchet MS" w:hAnsi="Trebuchet MS" w:cs="Calibri"/>
          <w:b/>
          <w:color w:val="1F497D"/>
          <w:sz w:val="24"/>
          <w:szCs w:val="24"/>
          <w:lang w:val="en-US" w:eastAsia="en-GB"/>
        </w:rPr>
      </w:pPr>
    </w:p>
    <w:p w14:paraId="1BE0AAFD" w14:textId="77777777" w:rsidR="00C048C0" w:rsidRPr="00225335" w:rsidRDefault="00C048C0" w:rsidP="00C048C0">
      <w:pPr>
        <w:jc w:val="center"/>
        <w:rPr>
          <w:rFonts w:ascii="Trebuchet MS" w:hAnsi="Trebuchet MS" w:cs="Calibri"/>
          <w:b/>
          <w:color w:val="1F497D"/>
          <w:sz w:val="24"/>
          <w:szCs w:val="24"/>
          <w:lang w:val="en-US" w:eastAsia="en-GB"/>
        </w:rPr>
      </w:pPr>
    </w:p>
    <w:p w14:paraId="150C6456" w14:textId="77777777" w:rsidR="00C048C0" w:rsidRPr="00225335" w:rsidRDefault="00C048C0" w:rsidP="00C048C0">
      <w:pPr>
        <w:jc w:val="center"/>
        <w:rPr>
          <w:rFonts w:ascii="Trebuchet MS" w:hAnsi="Trebuchet MS" w:cs="Calibri"/>
          <w:b/>
          <w:color w:val="1F497D"/>
          <w:sz w:val="24"/>
          <w:szCs w:val="24"/>
          <w:lang w:val="en-US" w:eastAsia="en-GB"/>
        </w:rPr>
      </w:pPr>
      <w:r w:rsidRPr="00225335">
        <w:rPr>
          <w:rFonts w:ascii="Trebuchet MS" w:hAnsi="Trebuchet MS" w:cs="Calibri"/>
          <w:b/>
          <w:color w:val="1F497D"/>
          <w:sz w:val="24"/>
          <w:szCs w:val="24"/>
          <w:lang w:val="en-US" w:eastAsia="en-GB"/>
        </w:rPr>
        <w:t>ARIEL project cod.278</w:t>
      </w:r>
    </w:p>
    <w:p w14:paraId="1771ED9B" w14:textId="77777777" w:rsidR="00C048C0" w:rsidRPr="00225335" w:rsidRDefault="00C048C0" w:rsidP="00C048C0">
      <w:pPr>
        <w:jc w:val="center"/>
        <w:rPr>
          <w:rFonts w:ascii="Trebuchet MS" w:hAnsi="Trebuchet MS" w:cs="Calibri"/>
          <w:b/>
          <w:color w:val="1F497D"/>
          <w:sz w:val="24"/>
          <w:szCs w:val="24"/>
          <w:lang w:val="en-US" w:eastAsia="en-GB"/>
        </w:rPr>
      </w:pPr>
      <w:r w:rsidRPr="00225335">
        <w:rPr>
          <w:rFonts w:ascii="Trebuchet MS" w:hAnsi="Trebuchet MS" w:cs="Calibri"/>
          <w:b/>
          <w:color w:val="1F497D"/>
          <w:sz w:val="24"/>
          <w:szCs w:val="24"/>
          <w:lang w:val="en-US" w:eastAsia="en-GB"/>
        </w:rPr>
        <w:t>WPT1 – Small Scale Fisheries and Aquaculture Framework Analysis</w:t>
      </w:r>
    </w:p>
    <w:p w14:paraId="08B5118A" w14:textId="77777777" w:rsidR="00C048C0" w:rsidRPr="00225335" w:rsidRDefault="00C048C0" w:rsidP="00C048C0">
      <w:pPr>
        <w:jc w:val="center"/>
        <w:rPr>
          <w:rFonts w:ascii="Trebuchet MS" w:hAnsi="Trebuchet MS"/>
          <w:b/>
          <w:color w:val="1F497D"/>
          <w:sz w:val="24"/>
          <w:szCs w:val="24"/>
          <w:lang w:val="en-US"/>
        </w:rPr>
      </w:pPr>
    </w:p>
    <w:p w14:paraId="256E9C23" w14:textId="77777777" w:rsidR="00C048C0" w:rsidRPr="00225335" w:rsidRDefault="00210A08" w:rsidP="00C048C0">
      <w:pPr>
        <w:jc w:val="center"/>
        <w:rPr>
          <w:rFonts w:ascii="Trebuchet MS" w:hAnsi="Trebuchet MS"/>
          <w:b/>
          <w:color w:val="1F497D"/>
          <w:sz w:val="24"/>
          <w:szCs w:val="24"/>
          <w:lang w:val="en-US"/>
        </w:rPr>
      </w:pPr>
      <w:r>
        <w:rPr>
          <w:rFonts w:ascii="Trebuchet MS" w:hAnsi="Trebuchet MS"/>
          <w:b/>
          <w:color w:val="1F497D"/>
          <w:sz w:val="24"/>
          <w:szCs w:val="24"/>
          <w:lang w:val="en-US"/>
        </w:rPr>
        <w:t xml:space="preserve">THE </w:t>
      </w:r>
      <w:r w:rsidR="00C048C0" w:rsidRPr="00225335">
        <w:rPr>
          <w:rFonts w:ascii="Trebuchet MS" w:hAnsi="Trebuchet MS"/>
          <w:b/>
          <w:color w:val="1F497D"/>
          <w:sz w:val="24"/>
          <w:szCs w:val="24"/>
          <w:lang w:val="en-US"/>
        </w:rPr>
        <w:t>ADRION S</w:t>
      </w:r>
      <w:r w:rsidR="00225335" w:rsidRPr="00225335">
        <w:rPr>
          <w:rFonts w:ascii="Trebuchet MS" w:hAnsi="Trebuchet MS"/>
          <w:b/>
          <w:color w:val="1F497D"/>
          <w:sz w:val="24"/>
          <w:szCs w:val="24"/>
          <w:lang w:val="en-US"/>
        </w:rPr>
        <w:t>MALL –</w:t>
      </w:r>
      <w:r w:rsidR="00225335">
        <w:rPr>
          <w:rFonts w:ascii="Trebuchet MS" w:hAnsi="Trebuchet MS"/>
          <w:b/>
          <w:color w:val="1F497D"/>
          <w:sz w:val="24"/>
          <w:szCs w:val="24"/>
          <w:lang w:val="en-US"/>
        </w:rPr>
        <w:t xml:space="preserve"> SC</w:t>
      </w:r>
      <w:r w:rsidR="00225335" w:rsidRPr="00225335">
        <w:rPr>
          <w:rFonts w:ascii="Trebuchet MS" w:hAnsi="Trebuchet MS"/>
          <w:b/>
          <w:color w:val="1F497D"/>
          <w:sz w:val="24"/>
          <w:szCs w:val="24"/>
          <w:lang w:val="en-US"/>
        </w:rPr>
        <w:t xml:space="preserve">ALE FISHERIES </w:t>
      </w:r>
      <w:r w:rsidR="00C048C0" w:rsidRPr="00225335">
        <w:rPr>
          <w:rFonts w:ascii="Trebuchet MS" w:hAnsi="Trebuchet MS"/>
          <w:b/>
          <w:color w:val="1F497D"/>
          <w:sz w:val="24"/>
          <w:szCs w:val="24"/>
          <w:lang w:val="en-US"/>
        </w:rPr>
        <w:t>SWOT</w:t>
      </w:r>
    </w:p>
    <w:p w14:paraId="1F68A101" w14:textId="77777777" w:rsidR="00C048C0" w:rsidRPr="00225335" w:rsidRDefault="00C048C0" w:rsidP="00C048C0">
      <w:pPr>
        <w:jc w:val="center"/>
        <w:rPr>
          <w:rFonts w:ascii="Trebuchet MS" w:hAnsi="Trebuchet MS"/>
          <w:b/>
          <w:color w:val="1F497D"/>
          <w:sz w:val="24"/>
          <w:szCs w:val="24"/>
          <w:lang w:val="en-US"/>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891"/>
        <w:gridCol w:w="5879"/>
      </w:tblGrid>
      <w:tr w:rsidR="00C048C0" w:rsidRPr="00225335" w14:paraId="18DF5A2A" w14:textId="77777777" w:rsidTr="00027623">
        <w:trPr>
          <w:jc w:val="center"/>
        </w:trPr>
        <w:tc>
          <w:tcPr>
            <w:tcW w:w="1648" w:type="pct"/>
            <w:tcBorders>
              <w:top w:val="single" w:sz="6" w:space="0" w:color="auto"/>
              <w:left w:val="single" w:sz="6" w:space="0" w:color="auto"/>
              <w:bottom w:val="single" w:sz="6" w:space="0" w:color="auto"/>
              <w:right w:val="single" w:sz="6" w:space="0" w:color="auto"/>
            </w:tcBorders>
            <w:shd w:val="clear" w:color="auto" w:fill="C6D9F1"/>
          </w:tcPr>
          <w:p w14:paraId="0BF55AA0" w14:textId="77777777" w:rsidR="00C048C0" w:rsidRPr="00225335" w:rsidRDefault="00C048C0" w:rsidP="00027623">
            <w:pPr>
              <w:spacing w:before="120" w:after="240"/>
              <w:rPr>
                <w:rFonts w:ascii="Trebuchet MS" w:hAnsi="Trebuchet MS" w:cs="Calibri"/>
                <w:b/>
                <w:sz w:val="24"/>
                <w:szCs w:val="24"/>
                <w:lang w:val="en-US" w:eastAsia="en-GB"/>
              </w:rPr>
            </w:pPr>
            <w:r w:rsidRPr="00225335">
              <w:rPr>
                <w:rFonts w:ascii="Trebuchet MS" w:hAnsi="Trebuchet MS" w:cs="Calibri"/>
                <w:b/>
                <w:sz w:val="24"/>
                <w:szCs w:val="24"/>
                <w:lang w:val="en-US" w:eastAsia="en-GB"/>
              </w:rPr>
              <w:t xml:space="preserve">Type of Document </w:t>
            </w:r>
          </w:p>
        </w:tc>
        <w:tc>
          <w:tcPr>
            <w:tcW w:w="3352" w:type="pct"/>
            <w:tcBorders>
              <w:top w:val="single" w:sz="6" w:space="0" w:color="auto"/>
              <w:left w:val="single" w:sz="6" w:space="0" w:color="auto"/>
              <w:bottom w:val="single" w:sz="6" w:space="0" w:color="auto"/>
              <w:right w:val="single" w:sz="6" w:space="0" w:color="auto"/>
            </w:tcBorders>
          </w:tcPr>
          <w:p w14:paraId="5EA2713F" w14:textId="77777777" w:rsidR="00C048C0" w:rsidRPr="00225335" w:rsidRDefault="00C048C0" w:rsidP="00C048C0">
            <w:pPr>
              <w:spacing w:before="120" w:after="240"/>
              <w:rPr>
                <w:rFonts w:ascii="Trebuchet MS" w:hAnsi="Trebuchet MS" w:cs="Calibri"/>
                <w:color w:val="1F497D"/>
                <w:sz w:val="24"/>
                <w:szCs w:val="24"/>
                <w:lang w:val="en-US" w:eastAsia="en-GB"/>
              </w:rPr>
            </w:pPr>
            <w:r w:rsidRPr="00225335">
              <w:rPr>
                <w:rFonts w:ascii="Trebuchet MS" w:hAnsi="Trebuchet MS" w:cs="Calibri"/>
                <w:color w:val="1F497D"/>
                <w:sz w:val="24"/>
                <w:szCs w:val="24"/>
                <w:lang w:val="en-US" w:eastAsia="en-GB"/>
              </w:rPr>
              <w:t>Project Deliverable D</w:t>
            </w:r>
            <w:r w:rsidRPr="00225335">
              <w:rPr>
                <w:rFonts w:ascii="Trebuchet MS" w:hAnsi="Trebuchet MS"/>
                <w:sz w:val="24"/>
                <w:szCs w:val="24"/>
                <w:lang w:val="en-US"/>
              </w:rPr>
              <w:t xml:space="preserve"> </w:t>
            </w:r>
            <w:r w:rsidRPr="00225335">
              <w:rPr>
                <w:rFonts w:ascii="Trebuchet MS" w:hAnsi="Trebuchet MS" w:cs="Calibri"/>
                <w:color w:val="1F497D"/>
                <w:sz w:val="24"/>
                <w:szCs w:val="24"/>
                <w:lang w:val="en-US" w:eastAsia="en-GB"/>
              </w:rPr>
              <w:t>T.1.2.3</w:t>
            </w:r>
          </w:p>
        </w:tc>
      </w:tr>
      <w:tr w:rsidR="00C048C0" w:rsidRPr="00225335" w14:paraId="496E3BE1" w14:textId="77777777" w:rsidTr="00027623">
        <w:trPr>
          <w:jc w:val="center"/>
        </w:trPr>
        <w:tc>
          <w:tcPr>
            <w:tcW w:w="1648" w:type="pct"/>
            <w:tcBorders>
              <w:top w:val="single" w:sz="6" w:space="0" w:color="auto"/>
              <w:left w:val="single" w:sz="6" w:space="0" w:color="auto"/>
              <w:bottom w:val="single" w:sz="6" w:space="0" w:color="auto"/>
              <w:right w:val="single" w:sz="6" w:space="0" w:color="auto"/>
            </w:tcBorders>
            <w:shd w:val="clear" w:color="auto" w:fill="C6D9F1"/>
          </w:tcPr>
          <w:p w14:paraId="4B92B800" w14:textId="77777777" w:rsidR="00C048C0" w:rsidRPr="00225335" w:rsidRDefault="00C048C0" w:rsidP="00027623">
            <w:pPr>
              <w:spacing w:before="120" w:after="240"/>
              <w:rPr>
                <w:rFonts w:ascii="Trebuchet MS" w:hAnsi="Trebuchet MS" w:cs="Calibri"/>
                <w:b/>
                <w:sz w:val="24"/>
                <w:szCs w:val="24"/>
                <w:lang w:val="en-US" w:eastAsia="en-GB"/>
              </w:rPr>
            </w:pPr>
            <w:r w:rsidRPr="00225335">
              <w:rPr>
                <w:rFonts w:ascii="Trebuchet MS" w:hAnsi="Trebuchet MS" w:cs="Calibri"/>
                <w:b/>
                <w:sz w:val="24"/>
                <w:szCs w:val="24"/>
                <w:lang w:val="en-US" w:eastAsia="en-GB"/>
              </w:rPr>
              <w:t xml:space="preserve">Authors </w:t>
            </w:r>
          </w:p>
        </w:tc>
        <w:tc>
          <w:tcPr>
            <w:tcW w:w="3352" w:type="pct"/>
            <w:tcBorders>
              <w:top w:val="single" w:sz="6" w:space="0" w:color="auto"/>
              <w:left w:val="single" w:sz="6" w:space="0" w:color="auto"/>
              <w:bottom w:val="single" w:sz="6" w:space="0" w:color="auto"/>
              <w:right w:val="single" w:sz="6" w:space="0" w:color="auto"/>
            </w:tcBorders>
          </w:tcPr>
          <w:p w14:paraId="56A9C16C" w14:textId="77777777" w:rsidR="00C048C0" w:rsidRPr="00225335" w:rsidRDefault="00431B43" w:rsidP="001B3753">
            <w:pPr>
              <w:spacing w:before="120" w:after="240"/>
              <w:rPr>
                <w:rFonts w:ascii="Trebuchet MS" w:hAnsi="Trebuchet MS" w:cs="Calibri"/>
                <w:color w:val="1F497D"/>
                <w:sz w:val="24"/>
                <w:szCs w:val="24"/>
                <w:lang w:val="en-US" w:eastAsia="en-GB"/>
              </w:rPr>
            </w:pPr>
            <w:r w:rsidRPr="00225335">
              <w:rPr>
                <w:rFonts w:ascii="Trebuchet MS" w:hAnsi="Trebuchet MS" w:cs="Calibri"/>
                <w:color w:val="1F497D"/>
                <w:sz w:val="24"/>
                <w:szCs w:val="24"/>
                <w:lang w:val="en-US" w:eastAsia="en-GB"/>
              </w:rPr>
              <w:t xml:space="preserve">IBMK with contribution from </w:t>
            </w:r>
            <w:proofErr w:type="spellStart"/>
            <w:r w:rsidRPr="00225335">
              <w:rPr>
                <w:rFonts w:ascii="Trebuchet MS" w:hAnsi="Trebuchet MS" w:cs="Calibri"/>
                <w:color w:val="1F497D"/>
                <w:sz w:val="24"/>
                <w:szCs w:val="24"/>
                <w:lang w:val="en-US" w:eastAsia="en-GB"/>
              </w:rPr>
              <w:t>MoARD</w:t>
            </w:r>
            <w:proofErr w:type="spellEnd"/>
            <w:r w:rsidRPr="00225335">
              <w:rPr>
                <w:rFonts w:ascii="Trebuchet MS" w:hAnsi="Trebuchet MS" w:cs="Calibri"/>
                <w:color w:val="1F497D"/>
                <w:sz w:val="24"/>
                <w:szCs w:val="24"/>
                <w:lang w:val="en-US" w:eastAsia="en-GB"/>
              </w:rPr>
              <w:t>, CNR-I</w:t>
            </w:r>
            <w:r w:rsidR="001B3753">
              <w:rPr>
                <w:rFonts w:ascii="Trebuchet MS" w:hAnsi="Trebuchet MS" w:cs="Calibri"/>
                <w:color w:val="1F497D"/>
                <w:sz w:val="24"/>
                <w:szCs w:val="24"/>
                <w:lang w:val="en-US" w:eastAsia="en-GB"/>
              </w:rPr>
              <w:t>RBIM</w:t>
            </w:r>
            <w:r w:rsidRPr="00225335">
              <w:rPr>
                <w:rFonts w:ascii="Trebuchet MS" w:hAnsi="Trebuchet MS" w:cs="Calibri"/>
                <w:color w:val="1F497D"/>
                <w:sz w:val="24"/>
                <w:szCs w:val="24"/>
                <w:lang w:val="en-US" w:eastAsia="en-GB"/>
              </w:rPr>
              <w:t>, HCMR, IOR, PI RERA SD, REMA, RESI, RWG</w:t>
            </w:r>
          </w:p>
        </w:tc>
      </w:tr>
      <w:tr w:rsidR="00C048C0" w:rsidRPr="00225335" w14:paraId="587AFCFA" w14:textId="77777777" w:rsidTr="00027623">
        <w:trPr>
          <w:jc w:val="center"/>
        </w:trPr>
        <w:tc>
          <w:tcPr>
            <w:tcW w:w="1648" w:type="pct"/>
            <w:tcBorders>
              <w:top w:val="single" w:sz="6" w:space="0" w:color="auto"/>
              <w:left w:val="single" w:sz="6" w:space="0" w:color="auto"/>
              <w:bottom w:val="single" w:sz="6" w:space="0" w:color="auto"/>
              <w:right w:val="single" w:sz="6" w:space="0" w:color="auto"/>
            </w:tcBorders>
            <w:shd w:val="clear" w:color="auto" w:fill="C6D9F1"/>
          </w:tcPr>
          <w:p w14:paraId="24FBF2F1" w14:textId="77777777" w:rsidR="00C048C0" w:rsidRPr="00225335" w:rsidRDefault="00C048C0" w:rsidP="00027623">
            <w:pPr>
              <w:spacing w:before="120" w:after="240"/>
              <w:rPr>
                <w:rFonts w:ascii="Trebuchet MS" w:hAnsi="Trebuchet MS" w:cs="Calibri"/>
                <w:b/>
                <w:sz w:val="24"/>
                <w:szCs w:val="24"/>
                <w:lang w:val="en-US" w:eastAsia="en-GB"/>
              </w:rPr>
            </w:pPr>
            <w:r w:rsidRPr="00225335">
              <w:rPr>
                <w:rFonts w:ascii="Trebuchet MS" w:hAnsi="Trebuchet MS" w:cs="Calibri"/>
                <w:b/>
                <w:sz w:val="24"/>
                <w:szCs w:val="24"/>
                <w:lang w:val="en-US" w:eastAsia="en-GB"/>
              </w:rPr>
              <w:t>Work Package:</w:t>
            </w:r>
          </w:p>
        </w:tc>
        <w:tc>
          <w:tcPr>
            <w:tcW w:w="3352" w:type="pct"/>
            <w:tcBorders>
              <w:top w:val="single" w:sz="6" w:space="0" w:color="auto"/>
              <w:left w:val="single" w:sz="6" w:space="0" w:color="auto"/>
              <w:bottom w:val="single" w:sz="6" w:space="0" w:color="auto"/>
              <w:right w:val="single" w:sz="6" w:space="0" w:color="auto"/>
            </w:tcBorders>
          </w:tcPr>
          <w:p w14:paraId="70A3D6F9" w14:textId="77777777" w:rsidR="00C048C0" w:rsidRPr="00225335" w:rsidRDefault="00C048C0" w:rsidP="00027623">
            <w:pPr>
              <w:spacing w:before="120" w:after="240"/>
              <w:rPr>
                <w:rFonts w:ascii="Trebuchet MS" w:hAnsi="Trebuchet MS" w:cs="Calibri"/>
                <w:color w:val="1F497D"/>
                <w:sz w:val="24"/>
                <w:szCs w:val="24"/>
                <w:lang w:val="en-US" w:eastAsia="en-GB"/>
              </w:rPr>
            </w:pPr>
            <w:r w:rsidRPr="00225335">
              <w:rPr>
                <w:rFonts w:ascii="Trebuchet MS" w:hAnsi="Trebuchet MS" w:cs="Calibri"/>
                <w:color w:val="1F497D"/>
                <w:sz w:val="24"/>
                <w:szCs w:val="24"/>
                <w:lang w:val="en-US" w:eastAsia="en-GB"/>
              </w:rPr>
              <w:t>WPT1 – Small Scale Fisheries and Aquaculture Framework Analysis</w:t>
            </w:r>
          </w:p>
        </w:tc>
      </w:tr>
      <w:tr w:rsidR="00C048C0" w:rsidRPr="00225335" w14:paraId="194006F1" w14:textId="77777777" w:rsidTr="00027623">
        <w:trPr>
          <w:jc w:val="center"/>
        </w:trPr>
        <w:tc>
          <w:tcPr>
            <w:tcW w:w="1648" w:type="pct"/>
            <w:tcBorders>
              <w:top w:val="single" w:sz="6" w:space="0" w:color="auto"/>
              <w:left w:val="single" w:sz="6" w:space="0" w:color="auto"/>
              <w:bottom w:val="single" w:sz="6" w:space="0" w:color="auto"/>
              <w:right w:val="single" w:sz="6" w:space="0" w:color="auto"/>
            </w:tcBorders>
            <w:shd w:val="clear" w:color="auto" w:fill="C6D9F1"/>
          </w:tcPr>
          <w:p w14:paraId="0147D9AB" w14:textId="77777777" w:rsidR="00C048C0" w:rsidRPr="00225335" w:rsidRDefault="00C048C0" w:rsidP="00027623">
            <w:pPr>
              <w:spacing w:before="120" w:after="240"/>
              <w:rPr>
                <w:rFonts w:ascii="Trebuchet MS" w:hAnsi="Trebuchet MS" w:cs="Calibri"/>
                <w:b/>
                <w:sz w:val="24"/>
                <w:szCs w:val="24"/>
                <w:lang w:val="en-US" w:eastAsia="en-GB"/>
              </w:rPr>
            </w:pPr>
            <w:r w:rsidRPr="00225335">
              <w:rPr>
                <w:rFonts w:ascii="Trebuchet MS" w:hAnsi="Trebuchet MS" w:cs="Calibri"/>
                <w:b/>
                <w:sz w:val="24"/>
                <w:szCs w:val="24"/>
                <w:lang w:val="en-US" w:eastAsia="en-GB"/>
              </w:rPr>
              <w:t>Version and date</w:t>
            </w:r>
          </w:p>
        </w:tc>
        <w:tc>
          <w:tcPr>
            <w:tcW w:w="3352" w:type="pct"/>
            <w:tcBorders>
              <w:top w:val="single" w:sz="6" w:space="0" w:color="auto"/>
              <w:left w:val="single" w:sz="6" w:space="0" w:color="auto"/>
              <w:bottom w:val="single" w:sz="6" w:space="0" w:color="auto"/>
              <w:right w:val="single" w:sz="6" w:space="0" w:color="auto"/>
            </w:tcBorders>
          </w:tcPr>
          <w:p w14:paraId="3C76163D" w14:textId="77777777" w:rsidR="00C048C0" w:rsidRPr="00225335" w:rsidRDefault="00225335" w:rsidP="00027623">
            <w:pPr>
              <w:spacing w:before="120" w:after="240"/>
              <w:rPr>
                <w:rFonts w:ascii="Trebuchet MS" w:hAnsi="Trebuchet MS" w:cs="Calibri"/>
                <w:color w:val="1F497D"/>
                <w:sz w:val="24"/>
                <w:szCs w:val="24"/>
                <w:lang w:val="en-US" w:eastAsia="en-GB"/>
              </w:rPr>
            </w:pPr>
            <w:r w:rsidRPr="00225335">
              <w:rPr>
                <w:rFonts w:ascii="Trebuchet MS" w:hAnsi="Trebuchet MS" w:cs="Calibri"/>
                <w:color w:val="1F497D"/>
                <w:sz w:val="24"/>
                <w:szCs w:val="24"/>
                <w:lang w:val="en-US" w:eastAsia="en-GB"/>
              </w:rPr>
              <w:t>Final Version</w:t>
            </w:r>
            <w:r w:rsidR="00C048C0" w:rsidRPr="00225335">
              <w:rPr>
                <w:rFonts w:ascii="Trebuchet MS" w:hAnsi="Trebuchet MS" w:cs="Calibri"/>
                <w:color w:val="1F497D"/>
                <w:sz w:val="24"/>
                <w:szCs w:val="24"/>
                <w:lang w:val="en-US" w:eastAsia="en-GB"/>
              </w:rPr>
              <w:t>, November 2018</w:t>
            </w:r>
          </w:p>
        </w:tc>
      </w:tr>
    </w:tbl>
    <w:p w14:paraId="48571641" w14:textId="77777777" w:rsidR="00C048C0" w:rsidRPr="00225335" w:rsidRDefault="00C048C0">
      <w:pPr>
        <w:rPr>
          <w:rFonts w:ascii="Trebuchet MS" w:hAnsi="Trebuchet MS"/>
          <w:sz w:val="24"/>
          <w:szCs w:val="24"/>
        </w:rPr>
      </w:pPr>
    </w:p>
    <w:p w14:paraId="4FFD9920" w14:textId="77777777" w:rsidR="00C048C0" w:rsidRPr="00225335" w:rsidRDefault="00C048C0">
      <w:pPr>
        <w:rPr>
          <w:rFonts w:ascii="Trebuchet MS" w:hAnsi="Trebuchet MS"/>
          <w:sz w:val="24"/>
          <w:szCs w:val="24"/>
        </w:rPr>
      </w:pPr>
    </w:p>
    <w:p w14:paraId="4EE82E7A" w14:textId="77777777" w:rsidR="00C048C0" w:rsidRPr="00225335" w:rsidRDefault="00C048C0">
      <w:pPr>
        <w:rPr>
          <w:rFonts w:ascii="Trebuchet MS" w:hAnsi="Trebuchet MS"/>
          <w:sz w:val="24"/>
          <w:szCs w:val="24"/>
        </w:rPr>
        <w:sectPr w:rsidR="00C048C0" w:rsidRPr="00225335" w:rsidSect="00C048C0">
          <w:headerReference w:type="first" r:id="rId7"/>
          <w:pgSz w:w="11906" w:h="16838"/>
          <w:pgMar w:top="1985" w:right="1418" w:bottom="1701" w:left="1418" w:header="397" w:footer="709" w:gutter="284"/>
          <w:cols w:space="708"/>
          <w:titlePg/>
          <w:docGrid w:linePitch="360"/>
        </w:sectPr>
      </w:pPr>
    </w:p>
    <w:p w14:paraId="3C4BCD98" w14:textId="77777777" w:rsidR="00225335" w:rsidRPr="005849A8" w:rsidRDefault="00225335" w:rsidP="00225335">
      <w:pPr>
        <w:autoSpaceDE w:val="0"/>
        <w:autoSpaceDN w:val="0"/>
        <w:adjustRightInd w:val="0"/>
        <w:rPr>
          <w:rFonts w:ascii="Trebuchet MS" w:hAnsi="Trebuchet MS" w:cs="Calibri"/>
          <w:b/>
          <w:sz w:val="24"/>
          <w:szCs w:val="24"/>
          <w:lang w:val="en-US"/>
        </w:rPr>
      </w:pPr>
      <w:r w:rsidRPr="005849A8">
        <w:rPr>
          <w:rFonts w:ascii="Trebuchet MS" w:hAnsi="Trebuchet MS" w:cs="Calibri"/>
          <w:b/>
          <w:sz w:val="24"/>
          <w:szCs w:val="24"/>
          <w:lang w:val="en-US"/>
        </w:rPr>
        <w:lastRenderedPageBreak/>
        <w:t>THE ARIEL PROJECT</w:t>
      </w:r>
    </w:p>
    <w:p w14:paraId="431B20CD" w14:textId="77777777" w:rsidR="005849A8" w:rsidRPr="005849A8" w:rsidRDefault="00225335" w:rsidP="00225335">
      <w:pPr>
        <w:autoSpaceDE w:val="0"/>
        <w:autoSpaceDN w:val="0"/>
        <w:adjustRightInd w:val="0"/>
        <w:rPr>
          <w:rFonts w:ascii="Trebuchet MS" w:hAnsi="Trebuchet MS" w:cs="Calibri"/>
          <w:sz w:val="24"/>
          <w:szCs w:val="24"/>
          <w:lang w:val="en-US"/>
        </w:rPr>
      </w:pPr>
      <w:r w:rsidRPr="005849A8">
        <w:rPr>
          <w:rFonts w:ascii="Trebuchet MS" w:hAnsi="Trebuchet MS" w:cs="Calibri"/>
          <w:sz w:val="24"/>
          <w:szCs w:val="24"/>
          <w:lang w:val="en-US"/>
        </w:rPr>
        <w:t>Aquaculture (AQ), along with Small-scale fisheries (SSF), are emerging sectors with high socio-economic importance and represent key drivers for the sustainable growth of Adriatic-Ionian communities. AQ sector faces challenges, such as: key enabling technologies and capacity creation, improved technological and market research for more cost-effective and sustainable solutions, co-management of resources, science-based policies, improved collection and assessment of biological data and data on production, and finally, viability and sustainability of ecosystem functioning. Under these premises the ARIEL Project, which is co-financed by the INTERREG VB ADRION Program 2014-2020, aims to promote (non-) technological solutions for the innovation of AQ and SSF among scientists, policy-makers and entrepreneurs, acting as a knowledge network and taking into account, in a single framework, the complex ecological, economic and societal challenges. ARIEL will develop capacity-building actions for policy makers to facilitate the adoption of a science-based approach to improve co-management of resources and develop appropriate supporting schemes to stimulate actors’ networking and clustering. Project activities will lead to strategic and operational guidelines to promote open innovation in SSF and AQ led by research institutes, facilitated by policy makers, endorsed by entrepreneurs and recognized by consumers. ARIEL promotes the uptake of open innovation led research in SSF and AQ facilitated by policy-makers and endorsed by operators by involving multiple-skill-organizations from Italy, Croatia, Montenegro and Greece. These organizations can effectively tackle, both strategically and operationally, the complex challenges of the growing SSF and AQ sectors in the Adriatic-Ionian Region, and can identify key innovation drivers for policy and research. Finally, they can ensure the durability and transferability of the projects’ results.</w:t>
      </w:r>
    </w:p>
    <w:p w14:paraId="02C6377C" w14:textId="77777777" w:rsidR="00210A08" w:rsidRPr="005849A8" w:rsidRDefault="00225335" w:rsidP="00225335">
      <w:pPr>
        <w:autoSpaceDE w:val="0"/>
        <w:autoSpaceDN w:val="0"/>
        <w:adjustRightInd w:val="0"/>
        <w:spacing w:after="0" w:line="240" w:lineRule="auto"/>
        <w:rPr>
          <w:rFonts w:ascii="Trebuchet MS" w:hAnsi="Trebuchet MS" w:cs="Calibri"/>
          <w:b/>
          <w:sz w:val="24"/>
          <w:szCs w:val="24"/>
          <w:lang w:val="en-US"/>
        </w:rPr>
      </w:pPr>
      <w:r w:rsidRPr="005849A8">
        <w:rPr>
          <w:rFonts w:ascii="Trebuchet MS" w:hAnsi="Trebuchet MS" w:cs="Calibri"/>
          <w:b/>
          <w:sz w:val="24"/>
          <w:szCs w:val="24"/>
          <w:lang w:val="en-US"/>
        </w:rPr>
        <w:t>The ARIEL partne</w:t>
      </w:r>
      <w:r w:rsidR="00210A08">
        <w:rPr>
          <w:rFonts w:ascii="Trebuchet MS" w:hAnsi="Trebuchet MS" w:cs="Calibri"/>
          <w:b/>
          <w:sz w:val="24"/>
          <w:szCs w:val="24"/>
          <w:lang w:val="en-US"/>
        </w:rPr>
        <w:t>rship</w:t>
      </w:r>
    </w:p>
    <w:p w14:paraId="094B4FD1" w14:textId="77777777" w:rsidR="00225335" w:rsidRPr="005849A8" w:rsidRDefault="00225335" w:rsidP="005849A8">
      <w:pPr>
        <w:autoSpaceDE w:val="0"/>
        <w:autoSpaceDN w:val="0"/>
        <w:adjustRightInd w:val="0"/>
        <w:spacing w:after="0" w:line="240" w:lineRule="auto"/>
        <w:rPr>
          <w:rFonts w:cs="Calibri"/>
          <w:szCs w:val="24"/>
          <w:lang w:val="en-US"/>
        </w:rPr>
      </w:pPr>
      <w:r w:rsidRPr="00B64BF5">
        <w:rPr>
          <w:rFonts w:cs="Calibri"/>
          <w:noProof/>
          <w:szCs w:val="24"/>
          <w:lang w:val="it-IT" w:eastAsia="it-IT"/>
        </w:rPr>
        <w:drawing>
          <wp:inline distT="0" distB="0" distL="0" distR="0" wp14:anchorId="2F997F43" wp14:editId="2EB40C80">
            <wp:extent cx="4099560" cy="1993324"/>
            <wp:effectExtent l="0" t="0" r="0" b="0"/>
            <wp:docPr id="17" name="Diagramm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ma 9"/>
                    <pic:cNvPicPr>
                      <a:picLocks noChangeArrowheads="1"/>
                    </pic:cNvPicPr>
                  </pic:nvPicPr>
                  <pic:blipFill rotWithShape="1">
                    <a:blip r:embed="rId8" cstate="print"/>
                    <a:srcRect l="-3819" t="-983" r="-1" b="-3049"/>
                    <a:stretch/>
                  </pic:blipFill>
                  <pic:spPr bwMode="auto">
                    <a:xfrm>
                      <a:off x="0" y="0"/>
                      <a:ext cx="4099560" cy="1993324"/>
                    </a:xfrm>
                    <a:prstGeom prst="rect">
                      <a:avLst/>
                    </a:prstGeom>
                    <a:noFill/>
                    <a:ln>
                      <a:noFill/>
                    </a:ln>
                    <a:extLst>
                      <a:ext uri="{53640926-AAD7-44D8-BBD7-CCE9431645EC}">
                        <a14:shadowObscured xmlns:a14="http://schemas.microsoft.com/office/drawing/2010/main"/>
                      </a:ext>
                    </a:extLst>
                  </pic:spPr>
                </pic:pic>
              </a:graphicData>
            </a:graphic>
          </wp:inline>
        </w:drawing>
      </w:r>
    </w:p>
    <w:p w14:paraId="2941A825" w14:textId="77777777" w:rsidR="00C048C0" w:rsidRPr="005849A8" w:rsidRDefault="00C048C0" w:rsidP="00C048C0">
      <w:pPr>
        <w:pStyle w:val="Heading1"/>
        <w:rPr>
          <w:rFonts w:ascii="Trebuchet MS" w:eastAsiaTheme="minorEastAsia" w:hAnsi="Trebuchet MS" w:cs="Calibri"/>
          <w:b/>
          <w:color w:val="44546A" w:themeColor="text2"/>
          <w:sz w:val="24"/>
          <w:szCs w:val="24"/>
          <w:lang w:val="en-US"/>
        </w:rPr>
      </w:pPr>
      <w:r w:rsidRPr="005849A8">
        <w:rPr>
          <w:rFonts w:ascii="Trebuchet MS" w:eastAsiaTheme="minorEastAsia" w:hAnsi="Trebuchet MS" w:cs="Calibri"/>
          <w:b/>
          <w:color w:val="44546A" w:themeColor="text2"/>
          <w:sz w:val="24"/>
          <w:szCs w:val="24"/>
          <w:lang w:val="en-US"/>
        </w:rPr>
        <w:lastRenderedPageBreak/>
        <w:t>ADRION S</w:t>
      </w:r>
      <w:r w:rsidR="00225335" w:rsidRPr="005849A8">
        <w:rPr>
          <w:rFonts w:ascii="Trebuchet MS" w:eastAsiaTheme="minorEastAsia" w:hAnsi="Trebuchet MS" w:cs="Calibri"/>
          <w:b/>
          <w:color w:val="44546A" w:themeColor="text2"/>
          <w:sz w:val="24"/>
          <w:szCs w:val="24"/>
          <w:lang w:val="en-US"/>
        </w:rPr>
        <w:t>MALL-SCALE FISHERIES</w:t>
      </w:r>
      <w:r w:rsidRPr="005849A8">
        <w:rPr>
          <w:rFonts w:ascii="Trebuchet MS" w:eastAsiaTheme="minorEastAsia" w:hAnsi="Trebuchet MS" w:cs="Calibri"/>
          <w:b/>
          <w:color w:val="44546A" w:themeColor="text2"/>
          <w:sz w:val="24"/>
          <w:szCs w:val="24"/>
          <w:lang w:val="en-US"/>
        </w:rPr>
        <w:t xml:space="preserve"> SWOT</w:t>
      </w:r>
    </w:p>
    <w:p w14:paraId="56DC6C25" w14:textId="77777777" w:rsidR="00C048C0" w:rsidRPr="005849A8" w:rsidRDefault="00C048C0">
      <w:pPr>
        <w:rPr>
          <w:rFonts w:ascii="Trebuchet MS" w:hAnsi="Trebuchet MS" w:cs="Calibri"/>
          <w:b/>
          <w:sz w:val="24"/>
          <w:szCs w:val="24"/>
          <w:lang w:val="en-US"/>
        </w:rPr>
      </w:pPr>
    </w:p>
    <w:p w14:paraId="612DBACB" w14:textId="77777777" w:rsidR="00225335" w:rsidRPr="005849A8" w:rsidRDefault="00225335">
      <w:pPr>
        <w:rPr>
          <w:rFonts w:ascii="Trebuchet MS" w:hAnsi="Trebuchet MS" w:cs="Calibri"/>
          <w:sz w:val="24"/>
          <w:szCs w:val="24"/>
          <w:lang w:val="en-US"/>
        </w:rPr>
      </w:pPr>
      <w:r w:rsidRPr="005849A8">
        <w:rPr>
          <w:rFonts w:ascii="Trebuchet MS" w:hAnsi="Trebuchet MS" w:cs="Calibri"/>
          <w:sz w:val="24"/>
          <w:szCs w:val="24"/>
          <w:lang w:val="en-US"/>
        </w:rPr>
        <w:t xml:space="preserve">The present SWOT table outline the strengths, weaknesses, opportunities sand threats detected in the small-scale fisheries sector of the Adriatic Ionian Region territories. </w:t>
      </w:r>
    </w:p>
    <w:p w14:paraId="3263DCC2" w14:textId="77777777" w:rsidR="00225335" w:rsidRPr="005849A8" w:rsidRDefault="00225335">
      <w:pPr>
        <w:rPr>
          <w:rFonts w:ascii="Trebuchet MS" w:hAnsi="Trebuchet MS" w:cs="Calibri"/>
          <w:b/>
          <w:sz w:val="24"/>
          <w:szCs w:val="24"/>
          <w:lang w:val="en-US"/>
        </w:rPr>
      </w:pPr>
      <w:r w:rsidRPr="005849A8">
        <w:rPr>
          <w:rFonts w:ascii="Trebuchet MS" w:hAnsi="Trebuchet MS" w:cs="Calibri"/>
          <w:sz w:val="24"/>
          <w:szCs w:val="24"/>
          <w:lang w:val="en-US"/>
        </w:rPr>
        <w:t>The SWOT table was developed by the Institute of Marine biology of Kotor (Montenegro), merging the regional SWOT tables delivered by the Italian, Croatian and Greek partners and the information from the desk</w:t>
      </w:r>
      <w:r w:rsidRPr="005849A8">
        <w:rPr>
          <w:rFonts w:ascii="Trebuchet MS" w:hAnsi="Trebuchet MS" w:cs="Calibri"/>
          <w:b/>
          <w:sz w:val="24"/>
          <w:szCs w:val="24"/>
          <w:lang w:val="en-US"/>
        </w:rPr>
        <w:t xml:space="preserve"> survey.</w:t>
      </w:r>
    </w:p>
    <w:p w14:paraId="3C18BE3E" w14:textId="77777777" w:rsidR="00225335" w:rsidRPr="00225335" w:rsidRDefault="00225335">
      <w:pPr>
        <w:rPr>
          <w:rFonts w:ascii="Trebuchet MS" w:hAnsi="Trebuchet MS"/>
          <w:sz w:val="24"/>
          <w:szCs w:val="24"/>
        </w:rPr>
      </w:pPr>
    </w:p>
    <w:tbl>
      <w:tblPr>
        <w:tblStyle w:val="TableGrid"/>
        <w:tblW w:w="5000" w:type="pct"/>
        <w:tblLook w:val="04A0" w:firstRow="1" w:lastRow="0" w:firstColumn="1" w:lastColumn="0" w:noHBand="0" w:noVBand="1"/>
      </w:tblPr>
      <w:tblGrid>
        <w:gridCol w:w="4578"/>
        <w:gridCol w:w="4198"/>
      </w:tblGrid>
      <w:tr w:rsidR="00C048C0" w:rsidRPr="00225335" w14:paraId="06AEB6A0" w14:textId="77777777" w:rsidTr="00027623">
        <w:tc>
          <w:tcPr>
            <w:tcW w:w="2608" w:type="pct"/>
            <w:tcBorders>
              <w:top w:val="single" w:sz="4" w:space="0" w:color="auto"/>
              <w:left w:val="single" w:sz="4" w:space="0" w:color="auto"/>
              <w:bottom w:val="single" w:sz="4" w:space="0" w:color="auto"/>
              <w:right w:val="single" w:sz="4" w:space="0" w:color="auto"/>
            </w:tcBorders>
            <w:shd w:val="clear" w:color="auto" w:fill="D5F89C"/>
            <w:hideMark/>
          </w:tcPr>
          <w:p w14:paraId="1C471A1B" w14:textId="77777777" w:rsidR="00C048C0" w:rsidRPr="00225335" w:rsidRDefault="00C048C0" w:rsidP="00027623">
            <w:pPr>
              <w:rPr>
                <w:rFonts w:ascii="Trebuchet MS" w:hAnsi="Trebuchet MS" w:cstheme="minorHAnsi"/>
                <w:b/>
                <w:sz w:val="24"/>
                <w:szCs w:val="24"/>
                <w:lang w:val="en-GB"/>
              </w:rPr>
            </w:pPr>
            <w:r w:rsidRPr="00225335">
              <w:rPr>
                <w:rFonts w:ascii="Trebuchet MS" w:hAnsi="Trebuchet MS" w:cstheme="minorHAnsi"/>
                <w:b/>
                <w:sz w:val="24"/>
                <w:szCs w:val="24"/>
                <w:lang w:val="en-GB"/>
              </w:rPr>
              <w:t>STRENGTHS</w:t>
            </w:r>
          </w:p>
        </w:tc>
        <w:tc>
          <w:tcPr>
            <w:tcW w:w="2392" w:type="pct"/>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EC13F85" w14:textId="77777777" w:rsidR="00C048C0" w:rsidRPr="00225335" w:rsidRDefault="00C048C0" w:rsidP="00027623">
            <w:pPr>
              <w:rPr>
                <w:rFonts w:ascii="Trebuchet MS" w:hAnsi="Trebuchet MS" w:cstheme="minorHAnsi"/>
                <w:b/>
                <w:sz w:val="24"/>
                <w:szCs w:val="24"/>
                <w:lang w:val="en-GB"/>
              </w:rPr>
            </w:pPr>
            <w:r w:rsidRPr="00225335">
              <w:rPr>
                <w:rFonts w:ascii="Trebuchet MS" w:hAnsi="Trebuchet MS" w:cstheme="minorHAnsi"/>
                <w:b/>
                <w:sz w:val="24"/>
                <w:szCs w:val="24"/>
                <w:lang w:val="en-GB"/>
              </w:rPr>
              <w:t>WEAKNESSES</w:t>
            </w:r>
          </w:p>
        </w:tc>
      </w:tr>
      <w:tr w:rsidR="00C048C0" w:rsidRPr="00225335" w14:paraId="5BB98226" w14:textId="77777777" w:rsidTr="00027623">
        <w:tc>
          <w:tcPr>
            <w:tcW w:w="2608" w:type="pct"/>
            <w:tcBorders>
              <w:top w:val="single" w:sz="4" w:space="0" w:color="auto"/>
              <w:left w:val="single" w:sz="4" w:space="0" w:color="auto"/>
              <w:bottom w:val="single" w:sz="4" w:space="0" w:color="auto"/>
              <w:right w:val="single" w:sz="4" w:space="0" w:color="auto"/>
            </w:tcBorders>
            <w:shd w:val="clear" w:color="auto" w:fill="D5F89C"/>
          </w:tcPr>
          <w:p w14:paraId="77A0BB6A" w14:textId="77777777" w:rsidR="00C048C0" w:rsidRPr="00225335" w:rsidRDefault="00C048C0" w:rsidP="00C048C0">
            <w:pPr>
              <w:pStyle w:val="ListParagraph"/>
              <w:numPr>
                <w:ilvl w:val="0"/>
                <w:numId w:val="1"/>
              </w:numPr>
              <w:spacing w:after="0"/>
              <w:jc w:val="left"/>
              <w:rPr>
                <w:rFonts w:ascii="Trebuchet MS" w:hAnsi="Trebuchet MS" w:cstheme="minorHAnsi"/>
                <w:sz w:val="24"/>
                <w:szCs w:val="24"/>
                <w:lang w:val="en-GB"/>
              </w:rPr>
            </w:pPr>
            <w:r w:rsidRPr="00225335">
              <w:rPr>
                <w:rFonts w:ascii="Trebuchet MS" w:hAnsi="Trebuchet MS" w:cstheme="minorHAnsi"/>
                <w:sz w:val="24"/>
                <w:szCs w:val="24"/>
                <w:lang w:val="en-GB"/>
              </w:rPr>
              <w:t>Long tradition of SSF in the region</w:t>
            </w:r>
          </w:p>
          <w:p w14:paraId="6C42C08D" w14:textId="77777777" w:rsidR="00C048C0" w:rsidRPr="00225335" w:rsidRDefault="00C048C0" w:rsidP="00C048C0">
            <w:pPr>
              <w:pStyle w:val="ListParagraph"/>
              <w:numPr>
                <w:ilvl w:val="0"/>
                <w:numId w:val="1"/>
              </w:numPr>
              <w:spacing w:after="0"/>
              <w:jc w:val="left"/>
              <w:rPr>
                <w:rFonts w:ascii="Trebuchet MS" w:hAnsi="Trebuchet MS" w:cstheme="minorHAnsi"/>
                <w:sz w:val="24"/>
                <w:szCs w:val="24"/>
                <w:lang w:val="en-GB"/>
              </w:rPr>
            </w:pPr>
            <w:r w:rsidRPr="00225335">
              <w:rPr>
                <w:rFonts w:ascii="Trebuchet MS" w:hAnsi="Trebuchet MS" w:cstheme="minorHAnsi"/>
                <w:sz w:val="24"/>
                <w:szCs w:val="24"/>
                <w:lang w:val="en-GB"/>
              </w:rPr>
              <w:t>Low environmental impact</w:t>
            </w:r>
          </w:p>
          <w:p w14:paraId="57E1C28E" w14:textId="77777777" w:rsidR="00C048C0" w:rsidRPr="00225335" w:rsidRDefault="00C048C0" w:rsidP="00C048C0">
            <w:pPr>
              <w:pStyle w:val="ListParagraph"/>
              <w:numPr>
                <w:ilvl w:val="0"/>
                <w:numId w:val="1"/>
              </w:numPr>
              <w:spacing w:after="0"/>
              <w:jc w:val="left"/>
              <w:rPr>
                <w:rFonts w:ascii="Trebuchet MS" w:hAnsi="Trebuchet MS" w:cstheme="minorHAnsi"/>
                <w:sz w:val="24"/>
                <w:szCs w:val="24"/>
                <w:lang w:val="en-GB"/>
              </w:rPr>
            </w:pPr>
            <w:r w:rsidRPr="00225335">
              <w:rPr>
                <w:rFonts w:ascii="Trebuchet MS" w:hAnsi="Trebuchet MS" w:cstheme="minorHAnsi"/>
                <w:sz w:val="24"/>
                <w:szCs w:val="24"/>
                <w:lang w:val="en-GB"/>
              </w:rPr>
              <w:t xml:space="preserve">Low impact on resources </w:t>
            </w:r>
          </w:p>
          <w:p w14:paraId="0AF199A1" w14:textId="77777777" w:rsidR="00C048C0" w:rsidRPr="00225335" w:rsidRDefault="00C048C0" w:rsidP="00C048C0">
            <w:pPr>
              <w:pStyle w:val="ListParagraph"/>
              <w:numPr>
                <w:ilvl w:val="0"/>
                <w:numId w:val="1"/>
              </w:numPr>
              <w:spacing w:after="0"/>
              <w:jc w:val="left"/>
              <w:rPr>
                <w:rFonts w:ascii="Trebuchet MS" w:hAnsi="Trebuchet MS" w:cstheme="minorHAnsi"/>
                <w:sz w:val="24"/>
                <w:szCs w:val="24"/>
                <w:lang w:val="en-GB"/>
              </w:rPr>
            </w:pPr>
            <w:r w:rsidRPr="00225335">
              <w:rPr>
                <w:rFonts w:ascii="Trebuchet MS" w:hAnsi="Trebuchet MS" w:cstheme="minorHAnsi"/>
                <w:sz w:val="24"/>
                <w:szCs w:val="24"/>
                <w:lang w:val="en-GB"/>
              </w:rPr>
              <w:t>Short supply and distribution chain</w:t>
            </w:r>
          </w:p>
          <w:p w14:paraId="719F795F" w14:textId="77777777" w:rsidR="00C048C0" w:rsidRPr="00225335" w:rsidRDefault="00C048C0" w:rsidP="00C048C0">
            <w:pPr>
              <w:pStyle w:val="ListParagraph"/>
              <w:numPr>
                <w:ilvl w:val="0"/>
                <w:numId w:val="1"/>
              </w:numPr>
              <w:spacing w:after="0"/>
              <w:jc w:val="left"/>
              <w:rPr>
                <w:rFonts w:ascii="Trebuchet MS" w:hAnsi="Trebuchet MS" w:cstheme="minorHAnsi"/>
                <w:sz w:val="24"/>
                <w:szCs w:val="24"/>
                <w:lang w:val="en-GB"/>
              </w:rPr>
            </w:pPr>
            <w:r w:rsidRPr="00225335">
              <w:rPr>
                <w:rFonts w:ascii="Trebuchet MS" w:hAnsi="Trebuchet MS" w:cstheme="minorHAnsi"/>
                <w:sz w:val="24"/>
                <w:szCs w:val="24"/>
                <w:lang w:val="en-GB"/>
              </w:rPr>
              <w:t>Generally high quality of landings/products</w:t>
            </w:r>
          </w:p>
        </w:tc>
        <w:tc>
          <w:tcPr>
            <w:tcW w:w="2392"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E002115" w14:textId="77777777" w:rsidR="00C048C0" w:rsidRPr="00225335" w:rsidRDefault="00C048C0" w:rsidP="00C048C0">
            <w:pPr>
              <w:pStyle w:val="ListParagraph"/>
              <w:numPr>
                <w:ilvl w:val="0"/>
                <w:numId w:val="1"/>
              </w:numPr>
              <w:shd w:val="clear" w:color="auto" w:fill="A8D08D" w:themeFill="accent6" w:themeFillTint="99"/>
              <w:spacing w:after="0"/>
              <w:jc w:val="left"/>
              <w:rPr>
                <w:rFonts w:ascii="Trebuchet MS" w:hAnsi="Trebuchet MS" w:cstheme="minorHAnsi"/>
                <w:sz w:val="24"/>
                <w:szCs w:val="24"/>
                <w:lang w:val="en-GB"/>
              </w:rPr>
            </w:pPr>
            <w:r w:rsidRPr="00225335">
              <w:rPr>
                <w:rFonts w:ascii="Trebuchet MS" w:hAnsi="Trebuchet MS" w:cstheme="minorHAnsi"/>
                <w:sz w:val="24"/>
                <w:szCs w:val="24"/>
                <w:lang w:val="en-GB"/>
              </w:rPr>
              <w:t>Vessel age</w:t>
            </w:r>
          </w:p>
          <w:p w14:paraId="3601E7F0" w14:textId="77777777" w:rsidR="00C048C0" w:rsidRPr="00225335" w:rsidRDefault="00C048C0" w:rsidP="00C048C0">
            <w:pPr>
              <w:pStyle w:val="ListParagraph"/>
              <w:numPr>
                <w:ilvl w:val="0"/>
                <w:numId w:val="1"/>
              </w:numPr>
              <w:shd w:val="clear" w:color="auto" w:fill="A8D08D" w:themeFill="accent6" w:themeFillTint="99"/>
              <w:spacing w:after="0"/>
              <w:jc w:val="left"/>
              <w:rPr>
                <w:rFonts w:ascii="Trebuchet MS" w:hAnsi="Trebuchet MS" w:cstheme="minorHAnsi"/>
                <w:sz w:val="24"/>
                <w:szCs w:val="24"/>
                <w:lang w:val="en-GB"/>
              </w:rPr>
            </w:pPr>
            <w:r w:rsidRPr="00225335">
              <w:rPr>
                <w:rFonts w:ascii="Trebuchet MS" w:hAnsi="Trebuchet MS" w:cstheme="minorHAnsi"/>
                <w:sz w:val="24"/>
                <w:szCs w:val="24"/>
                <w:lang w:val="en-GB"/>
              </w:rPr>
              <w:t xml:space="preserve">Low level of cooperation </w:t>
            </w:r>
          </w:p>
          <w:p w14:paraId="022BBCB4" w14:textId="77777777" w:rsidR="00C048C0" w:rsidRPr="00225335" w:rsidRDefault="00C048C0" w:rsidP="00C048C0">
            <w:pPr>
              <w:pStyle w:val="ListParagraph"/>
              <w:numPr>
                <w:ilvl w:val="0"/>
                <w:numId w:val="1"/>
              </w:numPr>
              <w:shd w:val="clear" w:color="auto" w:fill="A8D08D" w:themeFill="accent6" w:themeFillTint="99"/>
              <w:spacing w:after="0"/>
              <w:jc w:val="left"/>
              <w:rPr>
                <w:rFonts w:ascii="Trebuchet MS" w:hAnsi="Trebuchet MS" w:cstheme="minorHAnsi"/>
                <w:sz w:val="24"/>
                <w:szCs w:val="24"/>
                <w:lang w:val="en-GB"/>
              </w:rPr>
            </w:pPr>
            <w:r w:rsidRPr="00225335">
              <w:rPr>
                <w:rFonts w:ascii="Trebuchet MS" w:hAnsi="Trebuchet MS" w:cstheme="minorHAnsi"/>
                <w:sz w:val="24"/>
                <w:szCs w:val="24"/>
                <w:lang w:val="en-GB"/>
              </w:rPr>
              <w:t>Illegal fishing</w:t>
            </w:r>
          </w:p>
          <w:p w14:paraId="62F3090D" w14:textId="77777777" w:rsidR="00C048C0" w:rsidRPr="00225335" w:rsidRDefault="00C048C0" w:rsidP="00C048C0">
            <w:pPr>
              <w:pStyle w:val="ListParagraph"/>
              <w:numPr>
                <w:ilvl w:val="0"/>
                <w:numId w:val="1"/>
              </w:numPr>
              <w:shd w:val="clear" w:color="auto" w:fill="A8D08D" w:themeFill="accent6" w:themeFillTint="99"/>
              <w:spacing w:after="0"/>
              <w:jc w:val="left"/>
              <w:rPr>
                <w:rFonts w:ascii="Trebuchet MS" w:hAnsi="Trebuchet MS" w:cstheme="minorHAnsi"/>
                <w:sz w:val="24"/>
                <w:szCs w:val="24"/>
                <w:lang w:val="en-GB"/>
              </w:rPr>
            </w:pPr>
            <w:r w:rsidRPr="00225335">
              <w:rPr>
                <w:rFonts w:ascii="Trebuchet MS" w:hAnsi="Trebuchet MS" w:cstheme="minorHAnsi"/>
                <w:sz w:val="24"/>
                <w:szCs w:val="24"/>
                <w:lang w:val="en-GB"/>
              </w:rPr>
              <w:t>Differences in SSF products pricing in different areas</w:t>
            </w:r>
          </w:p>
          <w:p w14:paraId="20AF1264" w14:textId="77777777" w:rsidR="00C048C0" w:rsidRPr="00225335" w:rsidRDefault="00C048C0" w:rsidP="00C048C0">
            <w:pPr>
              <w:pStyle w:val="ListParagraph"/>
              <w:numPr>
                <w:ilvl w:val="0"/>
                <w:numId w:val="1"/>
              </w:numPr>
              <w:shd w:val="clear" w:color="auto" w:fill="A8D08D" w:themeFill="accent6" w:themeFillTint="99"/>
              <w:spacing w:after="0"/>
              <w:jc w:val="left"/>
              <w:rPr>
                <w:rFonts w:ascii="Trebuchet MS" w:hAnsi="Trebuchet MS" w:cstheme="minorHAnsi"/>
                <w:sz w:val="24"/>
                <w:szCs w:val="24"/>
                <w:lang w:val="en-GB"/>
              </w:rPr>
            </w:pPr>
            <w:r w:rsidRPr="00225335">
              <w:rPr>
                <w:rFonts w:ascii="Trebuchet MS" w:hAnsi="Trebuchet MS" w:cstheme="minorHAnsi"/>
                <w:sz w:val="24"/>
                <w:szCs w:val="24"/>
                <w:lang w:val="en-GB"/>
              </w:rPr>
              <w:t>Low human capital</w:t>
            </w:r>
          </w:p>
          <w:p w14:paraId="77614890" w14:textId="77777777" w:rsidR="00C048C0" w:rsidRPr="00225335" w:rsidRDefault="00C048C0" w:rsidP="00C048C0">
            <w:pPr>
              <w:pStyle w:val="ListParagraph"/>
              <w:numPr>
                <w:ilvl w:val="0"/>
                <w:numId w:val="1"/>
              </w:numPr>
              <w:shd w:val="clear" w:color="auto" w:fill="A8D08D" w:themeFill="accent6" w:themeFillTint="99"/>
              <w:spacing w:after="0"/>
              <w:jc w:val="left"/>
              <w:rPr>
                <w:rFonts w:ascii="Trebuchet MS" w:hAnsi="Trebuchet MS" w:cstheme="minorHAnsi"/>
                <w:sz w:val="24"/>
                <w:szCs w:val="24"/>
                <w:lang w:val="en-GB"/>
              </w:rPr>
            </w:pPr>
            <w:r w:rsidRPr="00225335">
              <w:rPr>
                <w:rFonts w:ascii="Trebuchet MS" w:hAnsi="Trebuchet MS" w:cstheme="minorHAnsi"/>
                <w:sz w:val="24"/>
                <w:szCs w:val="24"/>
                <w:lang w:val="en-GB"/>
              </w:rPr>
              <w:t>Lack of interest/capability to use innovative technologies/modern equipment</w:t>
            </w:r>
          </w:p>
          <w:p w14:paraId="6A29AC07" w14:textId="77777777" w:rsidR="00C048C0" w:rsidRPr="00225335" w:rsidRDefault="00C048C0" w:rsidP="00C048C0">
            <w:pPr>
              <w:pStyle w:val="ListParagraph"/>
              <w:numPr>
                <w:ilvl w:val="0"/>
                <w:numId w:val="1"/>
              </w:numPr>
              <w:shd w:val="clear" w:color="auto" w:fill="A8D08D" w:themeFill="accent6" w:themeFillTint="99"/>
              <w:spacing w:after="0"/>
              <w:jc w:val="left"/>
              <w:rPr>
                <w:rFonts w:ascii="Trebuchet MS" w:hAnsi="Trebuchet MS" w:cstheme="minorHAnsi"/>
                <w:sz w:val="24"/>
                <w:szCs w:val="24"/>
                <w:lang w:val="en-GB"/>
              </w:rPr>
            </w:pPr>
            <w:r w:rsidRPr="00225335">
              <w:rPr>
                <w:rFonts w:ascii="Trebuchet MS" w:hAnsi="Trebuchet MS" w:cstheme="minorHAnsi"/>
                <w:sz w:val="24"/>
                <w:szCs w:val="24"/>
                <w:lang w:val="en-GB"/>
              </w:rPr>
              <w:t>Lower level of monitoring</w:t>
            </w:r>
          </w:p>
        </w:tc>
      </w:tr>
      <w:tr w:rsidR="00C048C0" w:rsidRPr="00225335" w14:paraId="1AD38D91" w14:textId="77777777" w:rsidTr="00027623">
        <w:tc>
          <w:tcPr>
            <w:tcW w:w="2608" w:type="pct"/>
            <w:tcBorders>
              <w:top w:val="single" w:sz="4" w:space="0" w:color="auto"/>
              <w:left w:val="single" w:sz="4" w:space="0" w:color="auto"/>
              <w:bottom w:val="single" w:sz="4" w:space="0" w:color="auto"/>
              <w:right w:val="single" w:sz="4" w:space="0" w:color="auto"/>
            </w:tcBorders>
            <w:shd w:val="clear" w:color="auto" w:fill="00CC99"/>
            <w:hideMark/>
          </w:tcPr>
          <w:p w14:paraId="76C2E470" w14:textId="77777777" w:rsidR="00C048C0" w:rsidRPr="00225335" w:rsidRDefault="00C048C0" w:rsidP="00027623">
            <w:pPr>
              <w:rPr>
                <w:rFonts w:ascii="Trebuchet MS" w:hAnsi="Trebuchet MS" w:cstheme="minorHAnsi"/>
                <w:b/>
                <w:sz w:val="24"/>
                <w:szCs w:val="24"/>
                <w:lang w:val="en-GB"/>
              </w:rPr>
            </w:pPr>
            <w:r w:rsidRPr="00225335">
              <w:rPr>
                <w:rFonts w:ascii="Trebuchet MS" w:hAnsi="Trebuchet MS" w:cstheme="minorHAnsi"/>
                <w:b/>
                <w:sz w:val="24"/>
                <w:szCs w:val="24"/>
                <w:lang w:val="en-GB"/>
              </w:rPr>
              <w:t>OPPORTUNITIES</w:t>
            </w:r>
          </w:p>
        </w:tc>
        <w:tc>
          <w:tcPr>
            <w:tcW w:w="2392" w:type="pct"/>
            <w:tcBorders>
              <w:top w:val="single" w:sz="4" w:space="0" w:color="auto"/>
              <w:left w:val="single" w:sz="4" w:space="0" w:color="auto"/>
              <w:bottom w:val="single" w:sz="4" w:space="0" w:color="auto"/>
              <w:right w:val="single" w:sz="4" w:space="0" w:color="auto"/>
            </w:tcBorders>
            <w:shd w:val="clear" w:color="auto" w:fill="E4B0BA"/>
            <w:hideMark/>
          </w:tcPr>
          <w:p w14:paraId="2DC28776" w14:textId="77777777" w:rsidR="00C048C0" w:rsidRPr="00225335" w:rsidRDefault="00C048C0" w:rsidP="00027623">
            <w:pPr>
              <w:rPr>
                <w:rFonts w:ascii="Trebuchet MS" w:hAnsi="Trebuchet MS" w:cstheme="minorHAnsi"/>
                <w:b/>
                <w:sz w:val="24"/>
                <w:szCs w:val="24"/>
                <w:lang w:val="en-GB"/>
              </w:rPr>
            </w:pPr>
            <w:r w:rsidRPr="00225335">
              <w:rPr>
                <w:rFonts w:ascii="Trebuchet MS" w:hAnsi="Trebuchet MS" w:cstheme="minorHAnsi"/>
                <w:b/>
                <w:sz w:val="24"/>
                <w:szCs w:val="24"/>
                <w:lang w:val="en-GB"/>
              </w:rPr>
              <w:t>THREATS</w:t>
            </w:r>
          </w:p>
        </w:tc>
      </w:tr>
      <w:tr w:rsidR="00C048C0" w:rsidRPr="00225335" w14:paraId="6DABBF7E" w14:textId="77777777" w:rsidTr="00027623">
        <w:tc>
          <w:tcPr>
            <w:tcW w:w="2608" w:type="pct"/>
            <w:tcBorders>
              <w:top w:val="single" w:sz="4" w:space="0" w:color="auto"/>
              <w:left w:val="single" w:sz="4" w:space="0" w:color="auto"/>
              <w:bottom w:val="single" w:sz="4" w:space="0" w:color="auto"/>
              <w:right w:val="single" w:sz="4" w:space="0" w:color="auto"/>
            </w:tcBorders>
            <w:shd w:val="clear" w:color="auto" w:fill="00CC99"/>
          </w:tcPr>
          <w:p w14:paraId="40EAA308" w14:textId="77777777" w:rsidR="00C048C0" w:rsidRPr="00225335" w:rsidRDefault="00C048C0" w:rsidP="00C048C0">
            <w:pPr>
              <w:pStyle w:val="ListParagraph"/>
              <w:numPr>
                <w:ilvl w:val="0"/>
                <w:numId w:val="2"/>
              </w:numPr>
              <w:shd w:val="clear" w:color="auto" w:fill="00CC99"/>
              <w:spacing w:after="0"/>
              <w:jc w:val="left"/>
              <w:rPr>
                <w:rFonts w:ascii="Trebuchet MS" w:hAnsi="Trebuchet MS" w:cstheme="minorHAnsi"/>
                <w:sz w:val="24"/>
                <w:szCs w:val="24"/>
                <w:lang w:val="en-GB"/>
              </w:rPr>
            </w:pPr>
            <w:r w:rsidRPr="00225335">
              <w:rPr>
                <w:rFonts w:ascii="Trebuchet MS" w:hAnsi="Trebuchet MS" w:cstheme="minorHAnsi"/>
                <w:sz w:val="24"/>
                <w:szCs w:val="24"/>
                <w:lang w:val="en-GB"/>
              </w:rPr>
              <w:t>Growing consumer demand for fisheries products</w:t>
            </w:r>
          </w:p>
          <w:p w14:paraId="047D3BF5" w14:textId="77777777" w:rsidR="00C048C0" w:rsidRPr="00225335" w:rsidRDefault="00C048C0" w:rsidP="00C048C0">
            <w:pPr>
              <w:pStyle w:val="ListParagraph"/>
              <w:numPr>
                <w:ilvl w:val="0"/>
                <w:numId w:val="2"/>
              </w:numPr>
              <w:shd w:val="clear" w:color="auto" w:fill="00CC99"/>
              <w:spacing w:after="0"/>
              <w:jc w:val="left"/>
              <w:rPr>
                <w:rFonts w:ascii="Trebuchet MS" w:hAnsi="Trebuchet MS" w:cstheme="minorHAnsi"/>
                <w:sz w:val="24"/>
                <w:szCs w:val="24"/>
                <w:lang w:val="en-GB"/>
              </w:rPr>
            </w:pPr>
            <w:r w:rsidRPr="00225335">
              <w:rPr>
                <w:rFonts w:ascii="Trebuchet MS" w:hAnsi="Trebuchet MS" w:cstheme="minorHAnsi"/>
                <w:sz w:val="24"/>
                <w:szCs w:val="24"/>
                <w:lang w:val="en-GB"/>
              </w:rPr>
              <w:t>Traditional and cultural heritage protection</w:t>
            </w:r>
          </w:p>
          <w:p w14:paraId="5371D582" w14:textId="77777777" w:rsidR="00C048C0" w:rsidRPr="00225335" w:rsidRDefault="00C048C0" w:rsidP="00C048C0">
            <w:pPr>
              <w:pStyle w:val="ListParagraph"/>
              <w:numPr>
                <w:ilvl w:val="0"/>
                <w:numId w:val="2"/>
              </w:numPr>
              <w:shd w:val="clear" w:color="auto" w:fill="00CC99"/>
              <w:spacing w:after="0"/>
              <w:jc w:val="left"/>
              <w:rPr>
                <w:rFonts w:ascii="Trebuchet MS" w:hAnsi="Trebuchet MS" w:cstheme="minorHAnsi"/>
                <w:sz w:val="24"/>
                <w:szCs w:val="24"/>
                <w:lang w:val="en-GB"/>
              </w:rPr>
            </w:pPr>
            <w:r w:rsidRPr="00225335">
              <w:rPr>
                <w:rFonts w:ascii="Trebuchet MS" w:hAnsi="Trebuchet MS" w:cstheme="minorHAnsi"/>
                <w:sz w:val="24"/>
                <w:szCs w:val="24"/>
                <w:lang w:val="en-GB"/>
              </w:rPr>
              <w:t>Improvement in SSF operatives cooperation</w:t>
            </w:r>
          </w:p>
          <w:p w14:paraId="5118BC36" w14:textId="77777777" w:rsidR="00C048C0" w:rsidRPr="00225335" w:rsidRDefault="00C048C0" w:rsidP="00C048C0">
            <w:pPr>
              <w:pStyle w:val="ListParagraph"/>
              <w:numPr>
                <w:ilvl w:val="0"/>
                <w:numId w:val="2"/>
              </w:numPr>
              <w:shd w:val="clear" w:color="auto" w:fill="00CC99"/>
              <w:spacing w:after="0"/>
              <w:jc w:val="left"/>
              <w:rPr>
                <w:rFonts w:ascii="Trebuchet MS" w:hAnsi="Trebuchet MS" w:cstheme="minorHAnsi"/>
                <w:sz w:val="24"/>
                <w:szCs w:val="24"/>
                <w:lang w:val="en-GB"/>
              </w:rPr>
            </w:pPr>
            <w:r w:rsidRPr="00225335">
              <w:rPr>
                <w:rFonts w:ascii="Trebuchet MS" w:hAnsi="Trebuchet MS" w:cstheme="minorHAnsi"/>
                <w:sz w:val="24"/>
                <w:szCs w:val="24"/>
                <w:lang w:val="en-GB"/>
              </w:rPr>
              <w:t>Modernisation and improvements in fishing gear and introduction of new technologies</w:t>
            </w:r>
          </w:p>
          <w:p w14:paraId="3CF9313E" w14:textId="77777777" w:rsidR="00C048C0" w:rsidRPr="00225335" w:rsidRDefault="00C048C0" w:rsidP="00C048C0">
            <w:pPr>
              <w:pStyle w:val="ListParagraph"/>
              <w:numPr>
                <w:ilvl w:val="0"/>
                <w:numId w:val="2"/>
              </w:numPr>
              <w:shd w:val="clear" w:color="auto" w:fill="00CC99"/>
              <w:spacing w:after="0"/>
              <w:jc w:val="left"/>
              <w:rPr>
                <w:rFonts w:ascii="Trebuchet MS" w:eastAsiaTheme="minorHAnsi" w:hAnsi="Trebuchet MS" w:cstheme="minorHAnsi"/>
                <w:sz w:val="24"/>
                <w:szCs w:val="24"/>
                <w:lang w:val="en-GB"/>
              </w:rPr>
            </w:pPr>
            <w:r w:rsidRPr="00225335">
              <w:rPr>
                <w:rFonts w:ascii="Trebuchet MS" w:hAnsi="Trebuchet MS" w:cstheme="minorHAnsi"/>
                <w:sz w:val="24"/>
                <w:szCs w:val="24"/>
                <w:lang w:val="en-GB"/>
              </w:rPr>
              <w:t>Cooperation with scientific/research institutions</w:t>
            </w:r>
          </w:p>
        </w:tc>
        <w:tc>
          <w:tcPr>
            <w:tcW w:w="2392" w:type="pct"/>
            <w:tcBorders>
              <w:top w:val="single" w:sz="4" w:space="0" w:color="auto"/>
              <w:left w:val="single" w:sz="4" w:space="0" w:color="auto"/>
              <w:bottom w:val="single" w:sz="4" w:space="0" w:color="auto"/>
              <w:right w:val="single" w:sz="4" w:space="0" w:color="auto"/>
            </w:tcBorders>
            <w:shd w:val="clear" w:color="auto" w:fill="E4B0BA"/>
          </w:tcPr>
          <w:p w14:paraId="3EE2F842" w14:textId="77777777" w:rsidR="00C048C0" w:rsidRPr="00225335" w:rsidRDefault="00C048C0" w:rsidP="00C048C0">
            <w:pPr>
              <w:pStyle w:val="ListParagraph"/>
              <w:numPr>
                <w:ilvl w:val="0"/>
                <w:numId w:val="2"/>
              </w:numPr>
              <w:spacing w:after="0"/>
              <w:jc w:val="left"/>
              <w:rPr>
                <w:rFonts w:ascii="Trebuchet MS" w:hAnsi="Trebuchet MS" w:cstheme="minorHAnsi"/>
                <w:sz w:val="24"/>
                <w:szCs w:val="24"/>
                <w:lang w:val="en-GB"/>
              </w:rPr>
            </w:pPr>
            <w:r w:rsidRPr="00225335">
              <w:rPr>
                <w:rFonts w:ascii="Trebuchet MS" w:hAnsi="Trebuchet MS" w:cstheme="minorHAnsi"/>
                <w:sz w:val="24"/>
                <w:szCs w:val="24"/>
                <w:lang w:val="en-GB"/>
              </w:rPr>
              <w:t>Overexploitation from other metier and/or foreign vessels</w:t>
            </w:r>
          </w:p>
          <w:p w14:paraId="245AC290" w14:textId="77777777" w:rsidR="00C048C0" w:rsidRPr="00225335" w:rsidRDefault="00C048C0" w:rsidP="00C048C0">
            <w:pPr>
              <w:pStyle w:val="ListParagraph"/>
              <w:numPr>
                <w:ilvl w:val="0"/>
                <w:numId w:val="2"/>
              </w:numPr>
              <w:spacing w:after="0"/>
              <w:jc w:val="left"/>
              <w:rPr>
                <w:rFonts w:ascii="Trebuchet MS" w:hAnsi="Trebuchet MS" w:cstheme="minorHAnsi"/>
                <w:sz w:val="24"/>
                <w:szCs w:val="24"/>
                <w:lang w:val="en-GB"/>
              </w:rPr>
            </w:pPr>
            <w:r w:rsidRPr="00225335">
              <w:rPr>
                <w:rFonts w:ascii="Trebuchet MS" w:hAnsi="Trebuchet MS" w:cstheme="minorHAnsi"/>
                <w:sz w:val="24"/>
                <w:szCs w:val="24"/>
                <w:lang w:val="en-GB"/>
              </w:rPr>
              <w:t>Pollution through anthropogenic activities</w:t>
            </w:r>
          </w:p>
          <w:p w14:paraId="48E6C5D6" w14:textId="77777777" w:rsidR="00C048C0" w:rsidRPr="00225335" w:rsidRDefault="00C048C0" w:rsidP="00C048C0">
            <w:pPr>
              <w:pStyle w:val="ListParagraph"/>
              <w:numPr>
                <w:ilvl w:val="0"/>
                <w:numId w:val="2"/>
              </w:numPr>
              <w:spacing w:after="0"/>
              <w:jc w:val="left"/>
              <w:rPr>
                <w:rFonts w:ascii="Trebuchet MS" w:hAnsi="Trebuchet MS" w:cstheme="minorHAnsi"/>
                <w:sz w:val="24"/>
                <w:szCs w:val="24"/>
                <w:lang w:val="en-GB"/>
              </w:rPr>
            </w:pPr>
            <w:r w:rsidRPr="00225335">
              <w:rPr>
                <w:rFonts w:ascii="Trebuchet MS" w:hAnsi="Trebuchet MS" w:cstheme="minorHAnsi"/>
                <w:sz w:val="24"/>
                <w:szCs w:val="24"/>
                <w:lang w:val="en-GB"/>
              </w:rPr>
              <w:t>Lingering effects of economic crisis, low access to credit, high input cost (fuel)</w:t>
            </w:r>
          </w:p>
          <w:p w14:paraId="58406D12" w14:textId="77777777" w:rsidR="00C048C0" w:rsidRPr="00225335" w:rsidRDefault="00C048C0" w:rsidP="00C048C0">
            <w:pPr>
              <w:pStyle w:val="ListParagraph"/>
              <w:numPr>
                <w:ilvl w:val="0"/>
                <w:numId w:val="2"/>
              </w:numPr>
              <w:spacing w:after="0"/>
              <w:jc w:val="left"/>
              <w:rPr>
                <w:rFonts w:ascii="Trebuchet MS" w:hAnsi="Trebuchet MS" w:cstheme="minorHAnsi"/>
                <w:sz w:val="24"/>
                <w:szCs w:val="24"/>
                <w:lang w:val="en-GB"/>
              </w:rPr>
            </w:pPr>
            <w:r w:rsidRPr="00225335">
              <w:rPr>
                <w:rFonts w:ascii="Trebuchet MS" w:hAnsi="Trebuchet MS" w:cstheme="minorHAnsi"/>
                <w:sz w:val="24"/>
                <w:szCs w:val="24"/>
                <w:lang w:val="en-GB"/>
              </w:rPr>
              <w:t>Increased competition from other (EU/non-EU) markets</w:t>
            </w:r>
          </w:p>
          <w:p w14:paraId="3AA52C92" w14:textId="77777777" w:rsidR="00C048C0" w:rsidRPr="00225335" w:rsidRDefault="00C048C0" w:rsidP="00C048C0">
            <w:pPr>
              <w:pStyle w:val="ListParagraph"/>
              <w:numPr>
                <w:ilvl w:val="0"/>
                <w:numId w:val="2"/>
              </w:numPr>
              <w:spacing w:after="0"/>
              <w:jc w:val="left"/>
              <w:rPr>
                <w:rFonts w:ascii="Trebuchet MS" w:hAnsi="Trebuchet MS" w:cstheme="minorHAnsi"/>
                <w:sz w:val="24"/>
                <w:szCs w:val="24"/>
                <w:lang w:val="en-GB"/>
              </w:rPr>
            </w:pPr>
            <w:r w:rsidRPr="00225335">
              <w:rPr>
                <w:rFonts w:ascii="Trebuchet MS" w:hAnsi="Trebuchet MS" w:cstheme="minorHAnsi"/>
                <w:sz w:val="24"/>
                <w:szCs w:val="24"/>
                <w:lang w:val="en-GB"/>
              </w:rPr>
              <w:t>Growing number of top predators</w:t>
            </w:r>
          </w:p>
        </w:tc>
      </w:tr>
    </w:tbl>
    <w:p w14:paraId="70DE3889" w14:textId="77777777" w:rsidR="005849A8" w:rsidRDefault="005849A8" w:rsidP="005849A8"/>
    <w:p w14:paraId="182BD20A" w14:textId="77777777" w:rsidR="005849A8" w:rsidRDefault="005849A8" w:rsidP="005849A8"/>
    <w:p w14:paraId="64257D42" w14:textId="77777777" w:rsidR="005849A8" w:rsidRPr="00210A08" w:rsidRDefault="00210A08" w:rsidP="005849A8">
      <w:pPr>
        <w:rPr>
          <w:rFonts w:ascii="Trebuchet MS" w:hAnsi="Trebuchet MS" w:cs="Calibri"/>
          <w:b/>
          <w:sz w:val="24"/>
          <w:szCs w:val="24"/>
          <w:lang w:val="en-US"/>
        </w:rPr>
      </w:pPr>
      <w:r>
        <w:rPr>
          <w:rFonts w:ascii="Trebuchet MS" w:hAnsi="Trebuchet MS" w:cs="Calibri"/>
          <w:b/>
          <w:sz w:val="24"/>
          <w:szCs w:val="24"/>
          <w:lang w:val="en-US"/>
        </w:rPr>
        <w:lastRenderedPageBreak/>
        <w:t>ARIEL PROJECT CONTACTS</w:t>
      </w:r>
    </w:p>
    <w:p w14:paraId="0D432C97" w14:textId="77777777" w:rsidR="005849A8" w:rsidRPr="005849A8" w:rsidRDefault="005849A8" w:rsidP="005849A8">
      <w:pPr>
        <w:spacing w:after="0"/>
        <w:rPr>
          <w:rFonts w:ascii="Trebuchet MS" w:hAnsi="Trebuchet MS" w:cs="Calibri"/>
          <w:sz w:val="24"/>
          <w:szCs w:val="24"/>
          <w:lang w:val="en-US"/>
        </w:rPr>
      </w:pPr>
      <w:r w:rsidRPr="005849A8">
        <w:rPr>
          <w:rFonts w:ascii="Trebuchet MS" w:hAnsi="Trebuchet MS" w:cs="Calibri"/>
          <w:sz w:val="24"/>
          <w:szCs w:val="24"/>
          <w:lang w:val="en-US"/>
        </w:rPr>
        <w:t>https://ariel.adrioninterreg.eu/</w:t>
      </w:r>
    </w:p>
    <w:p w14:paraId="651247A3" w14:textId="77777777" w:rsidR="005849A8" w:rsidRDefault="005849A8" w:rsidP="005849A8">
      <w:pPr>
        <w:spacing w:after="0"/>
        <w:rPr>
          <w:rFonts w:ascii="Trebuchet MS" w:hAnsi="Trebuchet MS" w:cs="Calibri"/>
          <w:sz w:val="24"/>
          <w:szCs w:val="24"/>
          <w:lang w:val="en-US"/>
        </w:rPr>
      </w:pPr>
      <w:proofErr w:type="spellStart"/>
      <w:r w:rsidRPr="005849A8">
        <w:rPr>
          <w:rFonts w:ascii="Trebuchet MS" w:hAnsi="Trebuchet MS" w:cs="Calibri"/>
          <w:sz w:val="24"/>
          <w:szCs w:val="24"/>
          <w:lang w:val="en-US"/>
        </w:rPr>
        <w:t>Facebook@ARIELADRION</w:t>
      </w:r>
      <w:proofErr w:type="spellEnd"/>
      <w:r w:rsidRPr="005849A8">
        <w:rPr>
          <w:rFonts w:ascii="Trebuchet MS" w:hAnsi="Trebuchet MS" w:cs="Calibri"/>
          <w:sz w:val="24"/>
          <w:szCs w:val="24"/>
          <w:lang w:val="en-US"/>
        </w:rPr>
        <w:t xml:space="preserve"> </w:t>
      </w:r>
    </w:p>
    <w:p w14:paraId="09532D8E" w14:textId="77777777" w:rsidR="005849A8" w:rsidRPr="001B3753" w:rsidRDefault="005849A8" w:rsidP="005849A8">
      <w:pPr>
        <w:spacing w:after="0"/>
        <w:rPr>
          <w:rFonts w:ascii="Trebuchet MS" w:hAnsi="Trebuchet MS" w:cs="Calibri"/>
          <w:sz w:val="24"/>
          <w:szCs w:val="24"/>
        </w:rPr>
      </w:pPr>
    </w:p>
    <w:p w14:paraId="5707654B" w14:textId="77777777" w:rsidR="005849A8" w:rsidRPr="001B3753" w:rsidRDefault="005849A8" w:rsidP="005849A8">
      <w:pPr>
        <w:spacing w:after="0"/>
        <w:rPr>
          <w:rFonts w:ascii="Trebuchet MS" w:hAnsi="Trebuchet MS" w:cs="Calibri"/>
          <w:sz w:val="24"/>
          <w:szCs w:val="24"/>
        </w:rPr>
      </w:pPr>
      <w:r w:rsidRPr="001B3753">
        <w:rPr>
          <w:rFonts w:ascii="Trebuchet MS" w:hAnsi="Trebuchet MS" w:cs="Calibri"/>
          <w:sz w:val="24"/>
          <w:szCs w:val="24"/>
        </w:rPr>
        <w:t>Lead Partner: CNR-IRBIM Ancona</w:t>
      </w:r>
    </w:p>
    <w:p w14:paraId="51C5DDBD" w14:textId="77777777" w:rsidR="005849A8" w:rsidRPr="001B3753" w:rsidRDefault="00885976" w:rsidP="005849A8">
      <w:pPr>
        <w:rPr>
          <w:rFonts w:ascii="Trebuchet MS" w:hAnsi="Trebuchet MS" w:cs="Calibri"/>
          <w:sz w:val="24"/>
          <w:szCs w:val="24"/>
        </w:rPr>
      </w:pPr>
      <w:hyperlink r:id="rId9" w:history="1">
        <w:r w:rsidR="005849A8" w:rsidRPr="001B3753">
          <w:rPr>
            <w:rStyle w:val="Hyperlink"/>
            <w:rFonts w:ascii="Trebuchet MS" w:hAnsi="Trebuchet MS" w:cs="Calibri"/>
            <w:sz w:val="24"/>
            <w:szCs w:val="24"/>
          </w:rPr>
          <w:t>fabio.grati@an.ismar.cnr.it</w:t>
        </w:r>
      </w:hyperlink>
    </w:p>
    <w:p w14:paraId="2ED8804A" w14:textId="77777777" w:rsidR="005849A8" w:rsidRPr="001B3753" w:rsidRDefault="005849A8" w:rsidP="005849A8">
      <w:pPr>
        <w:rPr>
          <w:rFonts w:ascii="Trebuchet MS" w:hAnsi="Trebuchet MS" w:cs="Calibri"/>
          <w:sz w:val="24"/>
          <w:szCs w:val="24"/>
        </w:rPr>
      </w:pPr>
    </w:p>
    <w:p w14:paraId="42BE6E8D" w14:textId="77777777" w:rsidR="005849A8" w:rsidRPr="001B3753" w:rsidRDefault="005849A8" w:rsidP="005849A8">
      <w:pPr>
        <w:rPr>
          <w:rFonts w:ascii="Trebuchet MS" w:hAnsi="Trebuchet MS" w:cs="Calibri"/>
          <w:sz w:val="24"/>
          <w:szCs w:val="24"/>
        </w:rPr>
      </w:pPr>
    </w:p>
    <w:p w14:paraId="1EA3DEA2" w14:textId="77777777" w:rsidR="00210A08" w:rsidRPr="001B3753" w:rsidRDefault="00210A08" w:rsidP="005849A8">
      <w:pPr>
        <w:rPr>
          <w:rFonts w:ascii="Trebuchet MS" w:hAnsi="Trebuchet MS" w:cs="Calibri"/>
          <w:sz w:val="24"/>
          <w:szCs w:val="24"/>
        </w:rPr>
      </w:pPr>
    </w:p>
    <w:p w14:paraId="0FA0A44D" w14:textId="77777777" w:rsidR="00210A08" w:rsidRPr="001B3753" w:rsidRDefault="00210A08" w:rsidP="005849A8">
      <w:pPr>
        <w:rPr>
          <w:rFonts w:ascii="Trebuchet MS" w:hAnsi="Trebuchet MS" w:cs="Calibri"/>
          <w:sz w:val="24"/>
          <w:szCs w:val="24"/>
        </w:rPr>
      </w:pPr>
    </w:p>
    <w:p w14:paraId="20CBE156" w14:textId="77777777" w:rsidR="00210A08" w:rsidRPr="001B3753" w:rsidRDefault="00210A08" w:rsidP="005849A8">
      <w:pPr>
        <w:rPr>
          <w:rFonts w:ascii="Trebuchet MS" w:hAnsi="Trebuchet MS" w:cs="Calibri"/>
          <w:sz w:val="24"/>
          <w:szCs w:val="24"/>
        </w:rPr>
      </w:pPr>
    </w:p>
    <w:p w14:paraId="48905F08" w14:textId="77777777" w:rsidR="00210A08" w:rsidRPr="001B3753" w:rsidRDefault="00210A08" w:rsidP="005849A8">
      <w:pPr>
        <w:rPr>
          <w:rFonts w:ascii="Trebuchet MS" w:hAnsi="Trebuchet MS" w:cs="Calibri"/>
          <w:sz w:val="24"/>
          <w:szCs w:val="24"/>
        </w:rPr>
      </w:pPr>
    </w:p>
    <w:p w14:paraId="659A97FC" w14:textId="77777777" w:rsidR="00210A08" w:rsidRPr="001B3753" w:rsidRDefault="00210A08" w:rsidP="005849A8">
      <w:pPr>
        <w:rPr>
          <w:rFonts w:ascii="Trebuchet MS" w:hAnsi="Trebuchet MS" w:cs="Calibri"/>
          <w:sz w:val="24"/>
          <w:szCs w:val="24"/>
        </w:rPr>
      </w:pPr>
    </w:p>
    <w:p w14:paraId="76C595D4" w14:textId="77777777" w:rsidR="00210A08" w:rsidRPr="001B3753" w:rsidRDefault="00210A08" w:rsidP="005849A8">
      <w:pPr>
        <w:rPr>
          <w:rFonts w:ascii="Trebuchet MS" w:hAnsi="Trebuchet MS" w:cs="Calibri"/>
          <w:sz w:val="24"/>
          <w:szCs w:val="24"/>
        </w:rPr>
      </w:pPr>
    </w:p>
    <w:p w14:paraId="1511ECD1" w14:textId="77777777" w:rsidR="00210A08" w:rsidRPr="001B3753" w:rsidRDefault="00210A08" w:rsidP="005849A8">
      <w:pPr>
        <w:rPr>
          <w:rFonts w:ascii="Trebuchet MS" w:hAnsi="Trebuchet MS" w:cs="Calibri"/>
          <w:sz w:val="24"/>
          <w:szCs w:val="24"/>
        </w:rPr>
      </w:pPr>
    </w:p>
    <w:p w14:paraId="6BB6B8B5" w14:textId="77777777" w:rsidR="00210A08" w:rsidRPr="001B3753" w:rsidRDefault="00210A08" w:rsidP="005849A8">
      <w:pPr>
        <w:rPr>
          <w:rFonts w:ascii="Trebuchet MS" w:hAnsi="Trebuchet MS" w:cs="Calibri"/>
          <w:sz w:val="24"/>
          <w:szCs w:val="24"/>
        </w:rPr>
      </w:pPr>
    </w:p>
    <w:p w14:paraId="5BD8ED17" w14:textId="77777777" w:rsidR="00210A08" w:rsidRPr="001B3753" w:rsidRDefault="00210A08" w:rsidP="005849A8">
      <w:pPr>
        <w:rPr>
          <w:rFonts w:ascii="Trebuchet MS" w:hAnsi="Trebuchet MS" w:cs="Calibri"/>
          <w:sz w:val="24"/>
          <w:szCs w:val="24"/>
        </w:rPr>
      </w:pPr>
    </w:p>
    <w:p w14:paraId="2C0C7694" w14:textId="77777777" w:rsidR="00210A08" w:rsidRPr="001B3753" w:rsidRDefault="00210A08" w:rsidP="005849A8">
      <w:pPr>
        <w:rPr>
          <w:rFonts w:ascii="Trebuchet MS" w:hAnsi="Trebuchet MS" w:cs="Calibri"/>
          <w:sz w:val="24"/>
          <w:szCs w:val="24"/>
        </w:rPr>
      </w:pPr>
    </w:p>
    <w:p w14:paraId="752DE2D4" w14:textId="77777777" w:rsidR="00210A08" w:rsidRPr="001B3753" w:rsidRDefault="00210A08" w:rsidP="005849A8">
      <w:pPr>
        <w:rPr>
          <w:rFonts w:ascii="Trebuchet MS" w:hAnsi="Trebuchet MS" w:cs="Calibri"/>
          <w:sz w:val="24"/>
          <w:szCs w:val="24"/>
        </w:rPr>
      </w:pPr>
    </w:p>
    <w:p w14:paraId="7C63E1C3" w14:textId="77777777" w:rsidR="00210A08" w:rsidRPr="001B3753" w:rsidRDefault="00210A08" w:rsidP="005849A8">
      <w:pPr>
        <w:rPr>
          <w:rFonts w:ascii="Trebuchet MS" w:hAnsi="Trebuchet MS" w:cs="Calibri"/>
          <w:sz w:val="24"/>
          <w:szCs w:val="24"/>
        </w:rPr>
      </w:pPr>
    </w:p>
    <w:p w14:paraId="1ED8F4B2" w14:textId="77777777" w:rsidR="00210A08" w:rsidRPr="001B3753" w:rsidRDefault="00210A08" w:rsidP="005849A8">
      <w:pPr>
        <w:rPr>
          <w:rFonts w:ascii="Trebuchet MS" w:hAnsi="Trebuchet MS" w:cs="Calibri"/>
          <w:sz w:val="24"/>
          <w:szCs w:val="24"/>
        </w:rPr>
      </w:pPr>
    </w:p>
    <w:p w14:paraId="04301813" w14:textId="77777777" w:rsidR="00210A08" w:rsidRPr="001B3753" w:rsidRDefault="00210A08" w:rsidP="005849A8">
      <w:pPr>
        <w:rPr>
          <w:rFonts w:ascii="Trebuchet MS" w:hAnsi="Trebuchet MS" w:cs="Calibri"/>
          <w:sz w:val="24"/>
          <w:szCs w:val="24"/>
        </w:rPr>
      </w:pPr>
    </w:p>
    <w:p w14:paraId="44184859" w14:textId="77777777" w:rsidR="00210A08" w:rsidRPr="001B3753" w:rsidRDefault="00210A08" w:rsidP="005849A8">
      <w:pPr>
        <w:rPr>
          <w:rFonts w:ascii="Trebuchet MS" w:hAnsi="Trebuchet MS" w:cs="Calibri"/>
          <w:sz w:val="24"/>
          <w:szCs w:val="24"/>
        </w:rPr>
      </w:pPr>
    </w:p>
    <w:p w14:paraId="729C680E" w14:textId="77777777" w:rsidR="005849A8" w:rsidRPr="005849A8" w:rsidRDefault="005849A8" w:rsidP="005849A8">
      <w:pPr>
        <w:rPr>
          <w:rFonts w:ascii="Trebuchet MS" w:hAnsi="Trebuchet MS" w:cs="Calibri"/>
          <w:b/>
          <w:sz w:val="24"/>
          <w:szCs w:val="24"/>
          <w:lang w:val="en-US"/>
        </w:rPr>
      </w:pPr>
      <w:r w:rsidRPr="005849A8">
        <w:rPr>
          <w:rFonts w:ascii="Trebuchet MS" w:hAnsi="Trebuchet MS" w:cs="Calibri"/>
          <w:b/>
          <w:sz w:val="24"/>
          <w:szCs w:val="24"/>
          <w:lang w:val="en-US"/>
        </w:rPr>
        <w:t>DISCLAIMER</w:t>
      </w:r>
    </w:p>
    <w:p w14:paraId="7550C63C" w14:textId="77777777" w:rsidR="005849A8" w:rsidRPr="005849A8" w:rsidRDefault="005849A8" w:rsidP="005849A8">
      <w:pPr>
        <w:rPr>
          <w:rFonts w:ascii="Trebuchet MS" w:hAnsi="Trebuchet MS" w:cs="Calibri"/>
          <w:i/>
          <w:sz w:val="24"/>
          <w:szCs w:val="24"/>
          <w:lang w:val="en-US"/>
        </w:rPr>
      </w:pPr>
      <w:r w:rsidRPr="005849A8">
        <w:rPr>
          <w:rFonts w:ascii="Trebuchet MS" w:hAnsi="Trebuchet MS" w:cs="Calibri"/>
          <w:i/>
          <w:sz w:val="24"/>
          <w:szCs w:val="24"/>
          <w:lang w:val="en-US"/>
        </w:rPr>
        <w:t xml:space="preserve">“This Report has been produced with the financial assistance of the European Union. The content of the Report is the sole responsibility of the ARIEL project partnership and can under no circumstances be regarded as reflecting the position of the European Union and/or ADRION </w:t>
      </w:r>
      <w:proofErr w:type="spellStart"/>
      <w:r w:rsidRPr="005849A8">
        <w:rPr>
          <w:rFonts w:ascii="Trebuchet MS" w:hAnsi="Trebuchet MS" w:cs="Calibri"/>
          <w:i/>
          <w:sz w:val="24"/>
          <w:szCs w:val="24"/>
          <w:lang w:val="en-US"/>
        </w:rPr>
        <w:t>programme</w:t>
      </w:r>
      <w:proofErr w:type="spellEnd"/>
      <w:r w:rsidRPr="005849A8">
        <w:rPr>
          <w:rFonts w:ascii="Trebuchet MS" w:hAnsi="Trebuchet MS"/>
          <w:i/>
          <w:sz w:val="18"/>
          <w:szCs w:val="18"/>
        </w:rPr>
        <w:t xml:space="preserve"> </w:t>
      </w:r>
      <w:r w:rsidRPr="005849A8">
        <w:rPr>
          <w:rFonts w:ascii="Trebuchet MS" w:hAnsi="Trebuchet MS" w:cs="Calibri"/>
          <w:i/>
          <w:sz w:val="24"/>
          <w:szCs w:val="24"/>
          <w:lang w:val="en-US"/>
        </w:rPr>
        <w:t>authorities</w:t>
      </w:r>
      <w:r>
        <w:rPr>
          <w:rFonts w:ascii="Trebuchet MS" w:hAnsi="Trebuchet MS" w:cs="Calibri"/>
          <w:i/>
          <w:sz w:val="24"/>
          <w:szCs w:val="24"/>
          <w:lang w:val="en-US"/>
        </w:rPr>
        <w:t>”</w:t>
      </w:r>
    </w:p>
    <w:p w14:paraId="36D1F464" w14:textId="77777777" w:rsidR="00E66FDE" w:rsidRPr="005849A8" w:rsidRDefault="00885976">
      <w:pPr>
        <w:rPr>
          <w:i/>
          <w:lang w:val="en-US"/>
        </w:rPr>
      </w:pPr>
    </w:p>
    <w:sectPr w:rsidR="00E66FDE" w:rsidRPr="005849A8" w:rsidSect="00C048C0">
      <w:headerReference w:type="default" r:id="rId10"/>
      <w:footerReference w:type="default" r:id="rId11"/>
      <w:pgSz w:w="11906" w:h="16838"/>
      <w:pgMar w:top="1985" w:right="1418" w:bottom="1701" w:left="1418" w:header="397" w:footer="709" w:gutter="284"/>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11F6B" w14:textId="77777777" w:rsidR="00885976" w:rsidRDefault="00885976" w:rsidP="00C048C0">
      <w:pPr>
        <w:spacing w:after="0" w:line="240" w:lineRule="auto"/>
      </w:pPr>
      <w:r>
        <w:separator/>
      </w:r>
    </w:p>
  </w:endnote>
  <w:endnote w:type="continuationSeparator" w:id="0">
    <w:p w14:paraId="147A86EE" w14:textId="77777777" w:rsidR="00885976" w:rsidRDefault="00885976" w:rsidP="00C04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4854" w:type="pct"/>
      <w:tblLayout w:type="fixed"/>
      <w:tblLook w:val="04A0" w:firstRow="1" w:lastRow="0" w:firstColumn="1" w:lastColumn="0" w:noHBand="0" w:noVBand="1"/>
    </w:tblPr>
    <w:tblGrid>
      <w:gridCol w:w="8505"/>
    </w:tblGrid>
    <w:sdt>
      <w:sdtPr>
        <w:rPr>
          <w:rFonts w:asciiTheme="majorHAnsi" w:eastAsiaTheme="majorEastAsia" w:hAnsiTheme="majorHAnsi" w:cstheme="majorBidi"/>
          <w:sz w:val="20"/>
          <w:szCs w:val="20"/>
        </w:rPr>
        <w:id w:val="-869987506"/>
        <w:docPartObj>
          <w:docPartGallery w:val="Page Numbers (Bottom of Page)"/>
          <w:docPartUnique/>
        </w:docPartObj>
      </w:sdtPr>
      <w:sdtEndPr/>
      <w:sdtContent>
        <w:tr w:rsidR="005849A8" w14:paraId="7A8BAE6A" w14:textId="77777777" w:rsidTr="005849A8">
          <w:trPr>
            <w:trHeight w:val="727"/>
          </w:trPr>
          <w:tc>
            <w:tcPr>
              <w:tcW w:w="5000" w:type="pct"/>
              <w:tcBorders>
                <w:right w:val="triple" w:sz="4" w:space="0" w:color="5B9BD5" w:themeColor="accent1"/>
              </w:tcBorders>
            </w:tcPr>
            <w:p w14:paraId="465308F6" w14:textId="77777777" w:rsidR="005849A8" w:rsidRDefault="005849A8" w:rsidP="005849A8">
              <w:pPr>
                <w:tabs>
                  <w:tab w:val="left" w:pos="620"/>
                  <w:tab w:val="left" w:pos="2820"/>
                  <w:tab w:val="center" w:pos="4320"/>
                </w:tabs>
                <w:jc w:val="right"/>
                <w:rPr>
                  <w:rFonts w:asciiTheme="majorHAnsi" w:eastAsiaTheme="majorEastAsia" w:hAnsiTheme="majorHAnsi" w:cstheme="majorBidi"/>
                  <w:sz w:val="20"/>
                  <w:szCs w:val="20"/>
                </w:rPr>
              </w:pPr>
              <w:r w:rsidRPr="00FA096C">
                <w:rPr>
                  <w:rFonts w:ascii="Trebuchet MS" w:hAnsi="Trebuchet MS"/>
                  <w:noProof/>
                  <w:lang w:val="it-IT" w:eastAsia="it-IT"/>
                </w:rPr>
                <w:drawing>
                  <wp:anchor distT="0" distB="0" distL="114300" distR="114300" simplePos="0" relativeHeight="251667456" behindDoc="1" locked="0" layoutInCell="1" allowOverlap="1" wp14:anchorId="35178EDF" wp14:editId="63D0C32C">
                    <wp:simplePos x="0" y="0"/>
                    <wp:positionH relativeFrom="margin">
                      <wp:posOffset>-68580</wp:posOffset>
                    </wp:positionH>
                    <wp:positionV relativeFrom="paragraph">
                      <wp:posOffset>0</wp:posOffset>
                    </wp:positionV>
                    <wp:extent cx="5363179" cy="689390"/>
                    <wp:effectExtent l="0" t="0" r="0" b="0"/>
                    <wp:wrapSquare wrapText="bothSides"/>
                    <wp:docPr id="63"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3179" cy="689390"/>
                            </a:xfrm>
                            <a:prstGeom prst="rect">
                              <a:avLst/>
                            </a:prstGeom>
                            <a:noFill/>
                          </pic:spPr>
                        </pic:pic>
                      </a:graphicData>
                    </a:graphic>
                    <wp14:sizeRelH relativeFrom="margin">
                      <wp14:pctWidth>0</wp14:pctWidth>
                    </wp14:sizeRelH>
                    <wp14:sizeRelV relativeFrom="margin">
                      <wp14:pctHeight>0</wp14:pctHeight>
                    </wp14:sizeRelV>
                  </wp:anchor>
                </w:drawing>
              </w:r>
            </w:p>
          </w:tc>
        </w:tr>
      </w:sdtContent>
    </w:sdt>
  </w:tbl>
  <w:p w14:paraId="5BAF0BAC" w14:textId="77777777" w:rsidR="00C048C0" w:rsidRDefault="00C04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91243" w14:textId="77777777" w:rsidR="00885976" w:rsidRDefault="00885976" w:rsidP="00C048C0">
      <w:pPr>
        <w:spacing w:after="0" w:line="240" w:lineRule="auto"/>
      </w:pPr>
      <w:r>
        <w:separator/>
      </w:r>
    </w:p>
  </w:footnote>
  <w:footnote w:type="continuationSeparator" w:id="0">
    <w:p w14:paraId="406462C2" w14:textId="77777777" w:rsidR="00885976" w:rsidRDefault="00885976" w:rsidP="00C04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8DBE5" w14:textId="77777777" w:rsidR="00C048C0" w:rsidRDefault="00225335">
    <w:pPr>
      <w:pStyle w:val="Header"/>
    </w:pPr>
    <w:r>
      <w:rPr>
        <w:noProof/>
        <w:lang w:val="it-IT" w:eastAsia="it-IT"/>
      </w:rPr>
      <w:drawing>
        <wp:anchor distT="0" distB="0" distL="114300" distR="114300" simplePos="0" relativeHeight="251663360" behindDoc="0" locked="0" layoutInCell="1" allowOverlap="1" wp14:anchorId="0250CDC5" wp14:editId="70F2A347">
          <wp:simplePos x="0" y="0"/>
          <wp:positionH relativeFrom="column">
            <wp:posOffset>4062730</wp:posOffset>
          </wp:positionH>
          <wp:positionV relativeFrom="paragraph">
            <wp:posOffset>-84455</wp:posOffset>
          </wp:positionV>
          <wp:extent cx="2225040" cy="1484036"/>
          <wp:effectExtent l="0" t="0" r="3810" b="190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lag_yellow_hig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5040" cy="1484036"/>
                  </a:xfrm>
                  <a:prstGeom prst="rect">
                    <a:avLst/>
                  </a:prstGeom>
                </pic:spPr>
              </pic:pic>
            </a:graphicData>
          </a:graphic>
        </wp:anchor>
      </w:drawing>
    </w:r>
    <w:r>
      <w:rPr>
        <w:noProof/>
        <w:lang w:val="it-IT" w:eastAsia="it-IT"/>
      </w:rPr>
      <w:drawing>
        <wp:anchor distT="0" distB="0" distL="114300" distR="114300" simplePos="0" relativeHeight="251662336" behindDoc="0" locked="0" layoutInCell="1" allowOverlap="1" wp14:anchorId="276EDB26" wp14:editId="62DA110D">
          <wp:simplePos x="0" y="0"/>
          <wp:positionH relativeFrom="column">
            <wp:posOffset>-715010</wp:posOffset>
          </wp:positionH>
          <wp:positionV relativeFrom="paragraph">
            <wp:posOffset>-99695</wp:posOffset>
          </wp:positionV>
          <wp:extent cx="2520696" cy="1694688"/>
          <wp:effectExtent l="0" t="0" r="0" b="127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ovation cartellini ARIEL (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20696" cy="169468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6D0CF" w14:textId="77777777" w:rsidR="00C048C0" w:rsidRDefault="00C048C0">
    <w:pPr>
      <w:pStyle w:val="Header"/>
    </w:pPr>
    <w:r>
      <w:rPr>
        <w:noProof/>
        <w:lang w:val="it-IT" w:eastAsia="it-IT"/>
      </w:rPr>
      <w:drawing>
        <wp:anchor distT="0" distB="0" distL="114300" distR="114300" simplePos="0" relativeHeight="251661312" behindDoc="1" locked="0" layoutInCell="1" allowOverlap="1" wp14:anchorId="62CD0E2A" wp14:editId="6FA5576B">
          <wp:simplePos x="0" y="0"/>
          <wp:positionH relativeFrom="margin">
            <wp:posOffset>0</wp:posOffset>
          </wp:positionH>
          <wp:positionV relativeFrom="paragraph">
            <wp:posOffset>0</wp:posOffset>
          </wp:positionV>
          <wp:extent cx="1256400" cy="8532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adrion-new.png"/>
                  <pic:cNvPicPr/>
                </pic:nvPicPr>
                <pic:blipFill>
                  <a:blip r:embed="rId1">
                    <a:extLst>
                      <a:ext uri="{28A0092B-C50C-407E-A947-70E740481C1C}">
                        <a14:useLocalDpi xmlns:a14="http://schemas.microsoft.com/office/drawing/2010/main" val="0"/>
                      </a:ext>
                    </a:extLst>
                  </a:blip>
                  <a:stretch>
                    <a:fillRect/>
                  </a:stretch>
                </pic:blipFill>
                <pic:spPr>
                  <a:xfrm>
                    <a:off x="0" y="0"/>
                    <a:ext cx="1256400" cy="85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60A50"/>
    <w:multiLevelType w:val="hybridMultilevel"/>
    <w:tmpl w:val="CA281C2E"/>
    <w:lvl w:ilvl="0" w:tplc="08090001">
      <w:start w:val="1"/>
      <w:numFmt w:val="bullet"/>
      <w:lvlText w:val=""/>
      <w:lvlJc w:val="left"/>
      <w:pPr>
        <w:ind w:left="360" w:hanging="360"/>
      </w:pPr>
      <w:rPr>
        <w:rFonts w:ascii="Symbol" w:hAnsi="Symbol" w:hint="default"/>
      </w:rPr>
    </w:lvl>
    <w:lvl w:ilvl="1" w:tplc="19C4D73C">
      <w:numFmt w:val="bullet"/>
      <w:lvlText w:val="•"/>
      <w:lvlJc w:val="left"/>
      <w:pPr>
        <w:ind w:left="1440" w:hanging="720"/>
      </w:pPr>
      <w:rPr>
        <w:rFonts w:ascii="Georgia" w:eastAsiaTheme="minorEastAsia" w:hAnsi="Georgia" w:cstheme="minorBidi" w:hint="default"/>
      </w:rPr>
    </w:lvl>
    <w:lvl w:ilvl="2" w:tplc="8B42052E">
      <w:numFmt w:val="bullet"/>
      <w:lvlText w:val="-"/>
      <w:lvlJc w:val="left"/>
      <w:pPr>
        <w:ind w:left="1800" w:hanging="360"/>
      </w:pPr>
      <w:rPr>
        <w:rFonts w:ascii="Calibri" w:eastAsiaTheme="minorEastAsia" w:hAnsi="Calibri" w:cstheme="minorBid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B950E15"/>
    <w:multiLevelType w:val="hybridMultilevel"/>
    <w:tmpl w:val="0B922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C0"/>
    <w:rsid w:val="001B3753"/>
    <w:rsid w:val="00210A08"/>
    <w:rsid w:val="00225335"/>
    <w:rsid w:val="0027518B"/>
    <w:rsid w:val="00431B43"/>
    <w:rsid w:val="005849A8"/>
    <w:rsid w:val="00796E20"/>
    <w:rsid w:val="00885976"/>
    <w:rsid w:val="00927484"/>
    <w:rsid w:val="00C048C0"/>
    <w:rsid w:val="00EA2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E9E96"/>
  <w15:chartTrackingRefBased/>
  <w15:docId w15:val="{6D28D294-2758-454B-9FBE-068FF99F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48C0"/>
    <w:pPr>
      <w:spacing w:after="120" w:line="276" w:lineRule="auto"/>
      <w:jc w:val="both"/>
    </w:pPr>
    <w:rPr>
      <w:rFonts w:eastAsiaTheme="minorEastAsia"/>
      <w:color w:val="44546A" w:themeColor="text2"/>
    </w:rPr>
  </w:style>
  <w:style w:type="paragraph" w:styleId="Heading1">
    <w:name w:val="heading 1"/>
    <w:basedOn w:val="Normal"/>
    <w:next w:val="Normal"/>
    <w:link w:val="Heading1Char"/>
    <w:uiPriority w:val="9"/>
    <w:qFormat/>
    <w:rsid w:val="00C048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8C0"/>
    <w:pPr>
      <w:ind w:left="720"/>
      <w:contextualSpacing/>
    </w:pPr>
  </w:style>
  <w:style w:type="table" w:styleId="TableGrid">
    <w:name w:val="Table Grid"/>
    <w:basedOn w:val="TableNormal"/>
    <w:uiPriority w:val="59"/>
    <w:rsid w:val="00C048C0"/>
    <w:pPr>
      <w:spacing w:after="0" w:line="240" w:lineRule="auto"/>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48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8C0"/>
    <w:rPr>
      <w:rFonts w:eastAsiaTheme="minorEastAsia"/>
      <w:color w:val="44546A" w:themeColor="text2"/>
    </w:rPr>
  </w:style>
  <w:style w:type="paragraph" w:styleId="Footer">
    <w:name w:val="footer"/>
    <w:basedOn w:val="Normal"/>
    <w:link w:val="FooterChar"/>
    <w:uiPriority w:val="99"/>
    <w:unhideWhenUsed/>
    <w:rsid w:val="00C048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8C0"/>
    <w:rPr>
      <w:rFonts w:eastAsiaTheme="minorEastAsia"/>
      <w:color w:val="44546A" w:themeColor="text2"/>
    </w:rPr>
  </w:style>
  <w:style w:type="character" w:customStyle="1" w:styleId="Heading1Char">
    <w:name w:val="Heading 1 Char"/>
    <w:basedOn w:val="DefaultParagraphFont"/>
    <w:link w:val="Heading1"/>
    <w:uiPriority w:val="9"/>
    <w:rsid w:val="00C048C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849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fabio.grati@an.ismar.cnr.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645</Words>
  <Characters>3679</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Zdravko Ikica</dc:creator>
  <cp:keywords/>
  <dc:description/>
  <cp:lastModifiedBy>Ana Buličić</cp:lastModifiedBy>
  <cp:revision>2</cp:revision>
  <dcterms:created xsi:type="dcterms:W3CDTF">2019-02-04T01:58:00Z</dcterms:created>
  <dcterms:modified xsi:type="dcterms:W3CDTF">2019-02-04T01:58:00Z</dcterms:modified>
</cp:coreProperties>
</file>